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AE9" w:rsidRDefault="00705AE9">
      <w:pPr>
        <w:jc w:val="center"/>
        <w:rPr>
          <w:sz w:val="20"/>
          <w:highlight w:val="yellow"/>
          <w:lang w:val="en-GB"/>
        </w:rPr>
      </w:pPr>
    </w:p>
    <w:p w:rsidR="00705AE9" w:rsidRDefault="002B6924">
      <w:pPr>
        <w:jc w:val="center"/>
        <w:rPr>
          <w:rStyle w:val="Strong"/>
          <w:sz w:val="28"/>
          <w:szCs w:val="28"/>
          <w:lang w:val="en-GB"/>
        </w:rPr>
      </w:pPr>
      <w:r>
        <w:rPr>
          <w:b/>
          <w:sz w:val="28"/>
          <w:szCs w:val="28"/>
          <w:lang w:val="en-GB"/>
        </w:rPr>
        <w:t>SERVICE CONTRACT NOTICE</w:t>
      </w:r>
    </w:p>
    <w:p w:rsidR="00705AE9" w:rsidRDefault="002B6924">
      <w:pPr>
        <w:jc w:val="center"/>
      </w:pPr>
      <w:r>
        <w:rPr>
          <w:rStyle w:val="Strong"/>
          <w:szCs w:val="24"/>
          <w:lang w:val="en-GB"/>
        </w:rPr>
        <w:t>Contract title</w:t>
      </w:r>
      <w:r w:rsidRPr="00D957B4">
        <w:rPr>
          <w:rStyle w:val="Strong"/>
          <w:szCs w:val="24"/>
          <w:lang w:val="en-GB"/>
        </w:rPr>
        <w:t xml:space="preserve">: </w:t>
      </w:r>
      <w:r w:rsidRPr="00D957B4">
        <w:rPr>
          <w:rStyle w:val="Strong"/>
          <w:szCs w:val="24"/>
          <w:lang w:val="en-GB"/>
        </w:rPr>
        <w:t>“</w:t>
      </w:r>
      <w:r w:rsidRPr="00D957B4">
        <w:rPr>
          <w:rStyle w:val="Strong"/>
          <w:szCs w:val="24"/>
          <w:lang w:val="en-GB"/>
        </w:rPr>
        <w:t xml:space="preserve">Engaging the Civil Engineer No. 1 that </w:t>
      </w:r>
      <w:proofErr w:type="spellStart"/>
      <w:r w:rsidRPr="00D957B4">
        <w:rPr>
          <w:rStyle w:val="Strong"/>
          <w:szCs w:val="24"/>
          <w:lang w:val="en-GB"/>
        </w:rPr>
        <w:t>wil</w:t>
      </w:r>
      <w:proofErr w:type="spellEnd"/>
      <w:r w:rsidRPr="00D957B4">
        <w:rPr>
          <w:rStyle w:val="Strong"/>
          <w:szCs w:val="24"/>
          <w:lang w:val="en-GB"/>
        </w:rPr>
        <w:t>l support the Project "Establishing of a new border cross check point (BCCP) Strumyani - Berovo (Klepalo) between Bulgaria and North Macedonia"</w:t>
      </w:r>
      <w:r w:rsidRPr="00D957B4">
        <w:rPr>
          <w:rStyle w:val="Strong"/>
          <w:szCs w:val="24"/>
          <w:lang w:val="en-GB"/>
        </w:rPr>
        <w:br/>
        <w:t>Location: Skopje</w:t>
      </w:r>
    </w:p>
    <w:p w:rsidR="00705AE9" w:rsidRDefault="00705AE9">
      <w:pPr>
        <w:ind w:left="709" w:hanging="349"/>
        <w:outlineLvl w:val="0"/>
        <w:rPr>
          <w:szCs w:val="24"/>
          <w:lang w:val="en-GB"/>
        </w:rPr>
      </w:pPr>
    </w:p>
    <w:p w:rsidR="00705AE9" w:rsidRDefault="002B6924">
      <w:pPr>
        <w:ind w:left="709" w:hanging="349"/>
        <w:outlineLvl w:val="0"/>
        <w:rPr>
          <w:sz w:val="22"/>
          <w:szCs w:val="22"/>
          <w:lang w:val="en-GB"/>
        </w:rPr>
      </w:pPr>
      <w:r>
        <w:rPr>
          <w:rStyle w:val="Strong"/>
          <w:sz w:val="22"/>
          <w:szCs w:val="22"/>
          <w:lang w:val="en-GB"/>
        </w:rPr>
        <w:t>1.</w:t>
      </w:r>
      <w:r>
        <w:rPr>
          <w:rStyle w:val="Strong"/>
          <w:sz w:val="22"/>
          <w:szCs w:val="22"/>
          <w:lang w:val="en-GB"/>
        </w:rPr>
        <w:tab/>
      </w:r>
      <w:r>
        <w:rPr>
          <w:rStyle w:val="Strong"/>
          <w:sz w:val="22"/>
          <w:szCs w:val="22"/>
          <w:lang w:val="en-GB"/>
        </w:rPr>
        <w:t>Reference</w:t>
      </w:r>
    </w:p>
    <w:p w:rsidR="00705AE9" w:rsidRDefault="002B6924">
      <w:pPr>
        <w:ind w:left="709" w:hanging="349"/>
        <w:outlineLvl w:val="0"/>
        <w:rPr>
          <w:b/>
          <w:bCs/>
        </w:rPr>
      </w:pPr>
      <w:r>
        <w:rPr>
          <w:sz w:val="22"/>
          <w:szCs w:val="22"/>
          <w:lang w:val="en-GB"/>
        </w:rPr>
        <w:t xml:space="preserve"> BCCPK/CWE_</w:t>
      </w:r>
      <w:proofErr w:type="gramStart"/>
      <w:r>
        <w:rPr>
          <w:sz w:val="22"/>
          <w:szCs w:val="22"/>
          <w:lang w:val="en-GB"/>
        </w:rPr>
        <w:t>01.T</w:t>
      </w:r>
      <w:proofErr w:type="gramEnd"/>
      <w:r>
        <w:rPr>
          <w:sz w:val="22"/>
          <w:szCs w:val="22"/>
          <w:lang w:val="en-GB"/>
        </w:rPr>
        <w:t>1</w:t>
      </w:r>
    </w:p>
    <w:p w:rsidR="00705AE9" w:rsidRDefault="002B6924">
      <w:pPr>
        <w:ind w:left="709" w:hanging="349"/>
        <w:outlineLvl w:val="0"/>
        <w:rPr>
          <w:sz w:val="22"/>
          <w:szCs w:val="22"/>
          <w:lang w:val="en-GB"/>
        </w:rPr>
      </w:pPr>
      <w:r>
        <w:rPr>
          <w:rStyle w:val="Strong"/>
          <w:sz w:val="22"/>
          <w:szCs w:val="22"/>
          <w:lang w:val="en-GB"/>
        </w:rPr>
        <w:t>2.</w:t>
      </w:r>
      <w:r>
        <w:rPr>
          <w:rStyle w:val="Strong"/>
          <w:sz w:val="22"/>
          <w:szCs w:val="22"/>
          <w:lang w:val="en-GB"/>
        </w:rPr>
        <w:tab/>
        <w:t>Procedure</w:t>
      </w:r>
    </w:p>
    <w:p w:rsidR="00705AE9" w:rsidRDefault="002B6924">
      <w:pPr>
        <w:pStyle w:val="Blockquote"/>
        <w:ind w:left="0"/>
        <w:jc w:val="both"/>
      </w:pPr>
      <w:r>
        <w:rPr>
          <w:sz w:val="22"/>
          <w:szCs w:val="22"/>
          <w:lang w:val="en-GB"/>
        </w:rPr>
        <w:t xml:space="preserve">       Simplified</w:t>
      </w:r>
    </w:p>
    <w:p w:rsidR="00705AE9" w:rsidRDefault="002B6924">
      <w:pPr>
        <w:ind w:left="709" w:hanging="349"/>
        <w:outlineLvl w:val="0"/>
        <w:rPr>
          <w:b/>
          <w:sz w:val="22"/>
          <w:szCs w:val="22"/>
          <w:lang w:val="en-GB"/>
        </w:rPr>
      </w:pPr>
      <w:r>
        <w:rPr>
          <w:rStyle w:val="Strong"/>
          <w:sz w:val="22"/>
          <w:szCs w:val="22"/>
          <w:lang w:val="en-GB"/>
        </w:rPr>
        <w:t xml:space="preserve"> 3. </w:t>
      </w:r>
      <w:r>
        <w:rPr>
          <w:rStyle w:val="Strong"/>
          <w:sz w:val="22"/>
          <w:szCs w:val="22"/>
          <w:lang w:val="en-GB"/>
        </w:rPr>
        <w:tab/>
        <w:t>Programme title</w:t>
      </w:r>
    </w:p>
    <w:p w:rsidR="00705AE9" w:rsidRDefault="002B6924">
      <w:pPr>
        <w:pStyle w:val="paragraph"/>
        <w:spacing w:before="0" w:beforeAutospacing="0" w:after="0" w:afterAutospacing="0"/>
        <w:ind w:left="426"/>
        <w:jc w:val="both"/>
        <w:textAlignment w:val="baseline"/>
      </w:pPr>
      <w:r>
        <w:rPr>
          <w:rStyle w:val="Emphasis"/>
          <w:i w:val="0"/>
          <w:color w:val="000000"/>
          <w:sz w:val="22"/>
          <w:szCs w:val="22"/>
          <w:lang w:val="en-GB" w:eastAsia="en-US"/>
        </w:rPr>
        <w:t>Instrument for Pre-accession Assistance (IPA III) - INTERREG IPA Cross-border Cooperation Programme “</w:t>
      </w:r>
      <w:r>
        <w:rPr>
          <w:rStyle w:val="Emphasis"/>
          <w:i w:val="0"/>
          <w:color w:val="000000"/>
          <w:sz w:val="22"/>
          <w:szCs w:val="22"/>
          <w:lang w:val="en-US" w:eastAsia="en-US"/>
        </w:rPr>
        <w:t>Bulgaria</w:t>
      </w:r>
      <w:r>
        <w:rPr>
          <w:rStyle w:val="Emphasis"/>
          <w:i w:val="0"/>
          <w:color w:val="000000"/>
          <w:sz w:val="22"/>
          <w:szCs w:val="22"/>
          <w:lang w:val="en-GB" w:eastAsia="en-US"/>
        </w:rPr>
        <w:t xml:space="preserve"> - Republic of North Macedonia 20</w:t>
      </w:r>
      <w:r>
        <w:rPr>
          <w:rStyle w:val="Emphasis"/>
          <w:i w:val="0"/>
          <w:color w:val="000000"/>
          <w:sz w:val="22"/>
          <w:szCs w:val="22"/>
          <w:lang w:val="en-US" w:eastAsia="en-US"/>
        </w:rPr>
        <w:t>21</w:t>
      </w:r>
      <w:r>
        <w:rPr>
          <w:rStyle w:val="Emphasis"/>
          <w:i w:val="0"/>
          <w:color w:val="000000"/>
          <w:sz w:val="22"/>
          <w:szCs w:val="22"/>
          <w:lang w:val="en-GB" w:eastAsia="en-US"/>
        </w:rPr>
        <w:t>-202</w:t>
      </w:r>
      <w:r>
        <w:rPr>
          <w:rStyle w:val="Emphasis"/>
          <w:i w:val="0"/>
          <w:color w:val="000000"/>
          <w:sz w:val="22"/>
          <w:szCs w:val="22"/>
          <w:lang w:val="en-US" w:eastAsia="en-US"/>
        </w:rPr>
        <w:t>7</w:t>
      </w:r>
      <w:r>
        <w:rPr>
          <w:rStyle w:val="Emphasis"/>
          <w:i w:val="0"/>
          <w:color w:val="000000"/>
          <w:sz w:val="22"/>
          <w:szCs w:val="22"/>
          <w:lang w:val="en-GB" w:eastAsia="en-US"/>
        </w:rPr>
        <w:t>”</w:t>
      </w:r>
    </w:p>
    <w:p w:rsidR="00705AE9" w:rsidRDefault="002B6924">
      <w:pPr>
        <w:ind w:left="709" w:hanging="349"/>
        <w:outlineLvl w:val="0"/>
        <w:rPr>
          <w:sz w:val="22"/>
          <w:szCs w:val="22"/>
          <w:lang w:val="en-GB"/>
        </w:rPr>
      </w:pPr>
      <w:r>
        <w:rPr>
          <w:rStyle w:val="Strong"/>
          <w:sz w:val="22"/>
          <w:szCs w:val="22"/>
          <w:lang w:val="en-GB"/>
        </w:rPr>
        <w:t xml:space="preserve">4. </w:t>
      </w:r>
      <w:r>
        <w:rPr>
          <w:rStyle w:val="Strong"/>
          <w:sz w:val="22"/>
          <w:szCs w:val="22"/>
          <w:lang w:val="en-GB"/>
        </w:rPr>
        <w:tab/>
        <w:t>Financing</w:t>
      </w:r>
    </w:p>
    <w:p w:rsidR="00705AE9" w:rsidRDefault="002B6924">
      <w:pPr>
        <w:pStyle w:val="Blockquote"/>
        <w:jc w:val="both"/>
        <w:rPr>
          <w:rStyle w:val="Emphasis"/>
          <w:i w:val="0"/>
          <w:sz w:val="22"/>
          <w:szCs w:val="22"/>
          <w:lang w:val="en-GB"/>
        </w:rPr>
      </w:pPr>
      <w:r>
        <w:rPr>
          <w:rStyle w:val="Emphasis"/>
          <w:i w:val="0"/>
          <w:sz w:val="22"/>
          <w:szCs w:val="22"/>
          <w:lang w:val="en-GB"/>
        </w:rPr>
        <w:t xml:space="preserve">The project is co-funded by the European Union in accordance with the rules of </w:t>
      </w:r>
      <w:r>
        <w:rPr>
          <w:rStyle w:val="Emphasis"/>
          <w:i w:val="0"/>
          <w:color w:val="000000"/>
          <w:sz w:val="22"/>
          <w:szCs w:val="22"/>
          <w:lang w:val="en-GB"/>
        </w:rPr>
        <w:t>Interreg IPA Cross-border Cooperation Programme “</w:t>
      </w:r>
      <w:r>
        <w:rPr>
          <w:rStyle w:val="Emphasis"/>
          <w:i w:val="0"/>
          <w:color w:val="000000"/>
          <w:sz w:val="22"/>
          <w:szCs w:val="22"/>
        </w:rPr>
        <w:t>Bulgaria</w:t>
      </w:r>
      <w:r>
        <w:rPr>
          <w:rStyle w:val="Emphasis"/>
          <w:i w:val="0"/>
          <w:color w:val="000000"/>
          <w:sz w:val="22"/>
          <w:szCs w:val="22"/>
          <w:lang w:val="en-GB"/>
        </w:rPr>
        <w:t xml:space="preserve"> - Republic of North Macedonia 20</w:t>
      </w:r>
      <w:r>
        <w:rPr>
          <w:rStyle w:val="Emphasis"/>
          <w:i w:val="0"/>
          <w:color w:val="000000"/>
          <w:sz w:val="22"/>
          <w:szCs w:val="22"/>
        </w:rPr>
        <w:t>21</w:t>
      </w:r>
      <w:r>
        <w:rPr>
          <w:rStyle w:val="Emphasis"/>
          <w:i w:val="0"/>
          <w:color w:val="000000"/>
          <w:sz w:val="22"/>
          <w:szCs w:val="22"/>
          <w:lang w:val="en-GB"/>
        </w:rPr>
        <w:t>-202</w:t>
      </w:r>
      <w:r>
        <w:rPr>
          <w:rStyle w:val="Emphasis"/>
          <w:i w:val="0"/>
          <w:color w:val="000000"/>
          <w:sz w:val="22"/>
          <w:szCs w:val="22"/>
        </w:rPr>
        <w:t>7</w:t>
      </w:r>
      <w:r>
        <w:rPr>
          <w:rStyle w:val="Emphasis"/>
          <w:i w:val="0"/>
          <w:color w:val="000000"/>
          <w:sz w:val="22"/>
          <w:szCs w:val="22"/>
          <w:lang w:val="en-GB"/>
        </w:rPr>
        <w:t>”</w:t>
      </w:r>
    </w:p>
    <w:p w:rsidR="00705AE9" w:rsidRDefault="002B6924">
      <w:pPr>
        <w:ind w:left="709" w:hanging="349"/>
        <w:outlineLvl w:val="0"/>
        <w:rPr>
          <w:sz w:val="22"/>
          <w:szCs w:val="22"/>
          <w:lang w:val="en-GB"/>
        </w:rPr>
      </w:pPr>
      <w:r>
        <w:rPr>
          <w:rStyle w:val="Strong"/>
          <w:sz w:val="22"/>
          <w:szCs w:val="22"/>
          <w:lang w:val="en-GB"/>
        </w:rPr>
        <w:t xml:space="preserve">5. </w:t>
      </w:r>
      <w:r>
        <w:rPr>
          <w:rStyle w:val="Strong"/>
          <w:sz w:val="22"/>
          <w:szCs w:val="22"/>
          <w:lang w:val="en-GB"/>
        </w:rPr>
        <w:tab/>
        <w:t>Contracting authority</w:t>
      </w:r>
    </w:p>
    <w:p w:rsidR="00705AE9" w:rsidRDefault="002B6924">
      <w:pPr>
        <w:ind w:left="357" w:right="357"/>
        <w:jc w:val="both"/>
      </w:pPr>
      <w:r>
        <w:rPr>
          <w:rStyle w:val="Emphasis"/>
          <w:i w:val="0"/>
          <w:sz w:val="22"/>
          <w:szCs w:val="22"/>
        </w:rPr>
        <w:t>Ministry of Finance</w:t>
      </w:r>
    </w:p>
    <w:p w:rsidR="00705AE9" w:rsidRDefault="002B6924">
      <w:pPr>
        <w:ind w:left="357" w:right="357"/>
        <w:jc w:val="both"/>
      </w:pPr>
      <w:r>
        <w:rPr>
          <w:rStyle w:val="Emphasis"/>
          <w:i w:val="0"/>
          <w:sz w:val="22"/>
          <w:szCs w:val="22"/>
        </w:rPr>
        <w:t>The Customs Administration of th</w:t>
      </w:r>
      <w:r>
        <w:rPr>
          <w:rStyle w:val="Emphasis"/>
          <w:i w:val="0"/>
          <w:sz w:val="22"/>
          <w:szCs w:val="22"/>
        </w:rPr>
        <w:t>e Republic of North Macedonia</w:t>
      </w:r>
    </w:p>
    <w:p w:rsidR="00705AE9" w:rsidRDefault="002B6924">
      <w:pPr>
        <w:ind w:left="357" w:right="357"/>
        <w:jc w:val="both"/>
      </w:pPr>
      <w:r>
        <w:rPr>
          <w:rStyle w:val="Emphasis"/>
          <w:i w:val="0"/>
          <w:sz w:val="22"/>
          <w:szCs w:val="22"/>
        </w:rPr>
        <w:t xml:space="preserve">Address:  </w:t>
      </w:r>
      <w:r>
        <w:rPr>
          <w:rStyle w:val="Emphasis"/>
          <w:i w:val="0"/>
          <w:color w:val="000000"/>
          <w:sz w:val="22"/>
          <w:szCs w:val="22"/>
          <w:lang w:val="en-GB" w:eastAsia="en-GB"/>
        </w:rPr>
        <w:t xml:space="preserve">St. Lazar </w:t>
      </w:r>
      <w:proofErr w:type="spellStart"/>
      <w:r>
        <w:rPr>
          <w:rStyle w:val="Emphasis"/>
          <w:i w:val="0"/>
          <w:color w:val="000000"/>
          <w:sz w:val="22"/>
          <w:szCs w:val="22"/>
          <w:lang w:val="en-GB" w:eastAsia="en-GB"/>
        </w:rPr>
        <w:t>Lichenoski</w:t>
      </w:r>
      <w:proofErr w:type="spellEnd"/>
      <w:r>
        <w:rPr>
          <w:rStyle w:val="Emphasis"/>
          <w:i w:val="0"/>
          <w:color w:val="000000"/>
          <w:sz w:val="22"/>
          <w:szCs w:val="22"/>
          <w:lang w:val="en-GB" w:eastAsia="en-GB"/>
        </w:rPr>
        <w:t xml:space="preserve"> No. 13</w:t>
      </w:r>
    </w:p>
    <w:p w:rsidR="00705AE9" w:rsidRDefault="002B6924">
      <w:pPr>
        <w:rPr>
          <w:sz w:val="22"/>
          <w:szCs w:val="22"/>
          <w:lang w:val="en-GB"/>
        </w:rPr>
      </w:pPr>
      <w:r>
        <w:rPr>
          <w:noProof/>
          <w:sz w:val="22"/>
          <w:szCs w:val="22"/>
          <w:lang w:val="en-GB"/>
        </w:rPr>
        <mc:AlternateContent>
          <mc:Choice Requires="wps">
            <w:drawing>
              <wp:anchor distT="11430" distB="11430" distL="11430" distR="11430" simplePos="0" relativeHeight="2" behindDoc="0" locked="0" layoutInCell="1" allowOverlap="1" wp14:anchorId="57D63E3D">
                <wp:simplePos x="0" y="0"/>
                <wp:positionH relativeFrom="column">
                  <wp:posOffset>0</wp:posOffset>
                </wp:positionH>
                <wp:positionV relativeFrom="paragraph">
                  <wp:posOffset>152400</wp:posOffset>
                </wp:positionV>
                <wp:extent cx="5943600" cy="635"/>
                <wp:effectExtent l="11430" t="11430" r="11430" b="11430"/>
                <wp:wrapNone/>
                <wp:docPr id="1" name="Shape1"/>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0C1D4F64" id="Shape1" o:spid="_x0000_s1026" style="position:absolute;z-index:2;visibility:visible;mso-wrap-style:square;mso-wrap-distance-left:.9pt;mso-wrap-distance-top:.9pt;mso-wrap-distance-right:.9pt;mso-wrap-distance-bottom:.9pt;mso-position-horizontal:absolute;mso-position-horizontal-relative:text;mso-position-vertical:absolute;mso-position-vertical-relative:text"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" strokecolor="#d4d4d4" strokeweight=".62mm"/>
            </w:pict>
          </mc:Fallback>
        </mc:AlternateContent>
      </w:r>
    </w:p>
    <w:p w:rsidR="00705AE9" w:rsidRDefault="002B6924">
      <w:pPr>
        <w:jc w:val="center"/>
        <w:rPr>
          <w:sz w:val="28"/>
          <w:szCs w:val="28"/>
          <w:lang w:val="en-GB"/>
        </w:rPr>
      </w:pPr>
      <w:r>
        <w:rPr>
          <w:rStyle w:val="Strong"/>
          <w:sz w:val="28"/>
          <w:szCs w:val="28"/>
          <w:lang w:val="en-GB"/>
        </w:rPr>
        <w:t>CONTRACT SPECIFICATION</w:t>
      </w:r>
    </w:p>
    <w:p w:rsidR="00705AE9" w:rsidRDefault="002B6924">
      <w:pPr>
        <w:ind w:left="709" w:hanging="349"/>
        <w:outlineLvl w:val="0"/>
        <w:rPr>
          <w:sz w:val="22"/>
          <w:szCs w:val="22"/>
          <w:lang w:val="en-GB"/>
        </w:rPr>
      </w:pPr>
      <w:r>
        <w:rPr>
          <w:rStyle w:val="Strong"/>
          <w:sz w:val="22"/>
          <w:szCs w:val="22"/>
          <w:lang w:val="en-GB"/>
        </w:rPr>
        <w:t xml:space="preserve">6. </w:t>
      </w:r>
      <w:r>
        <w:rPr>
          <w:rStyle w:val="Strong"/>
          <w:sz w:val="22"/>
          <w:szCs w:val="22"/>
          <w:lang w:val="en-GB"/>
        </w:rPr>
        <w:tab/>
        <w:t>Nature of contract</w:t>
      </w:r>
    </w:p>
    <w:p w:rsidR="00705AE9" w:rsidRDefault="002B6924">
      <w:pPr>
        <w:pStyle w:val="Blockquote"/>
        <w:jc w:val="both"/>
      </w:pPr>
      <w:r>
        <w:rPr>
          <w:rStyle w:val="Emphasis"/>
          <w:i w:val="0"/>
          <w:sz w:val="22"/>
          <w:szCs w:val="22"/>
          <w:lang w:val="en-GB"/>
        </w:rPr>
        <w:t>Global price</w:t>
      </w:r>
    </w:p>
    <w:p w:rsidR="00705AE9" w:rsidRDefault="002B6924">
      <w:pPr>
        <w:ind w:left="709" w:hanging="352"/>
        <w:outlineLvl w:val="0"/>
        <w:rPr>
          <w:sz w:val="22"/>
          <w:szCs w:val="22"/>
          <w:lang w:val="en-GB"/>
        </w:rPr>
      </w:pPr>
      <w:r>
        <w:rPr>
          <w:rStyle w:val="Strong"/>
          <w:sz w:val="22"/>
          <w:szCs w:val="22"/>
          <w:lang w:val="en-GB"/>
        </w:rPr>
        <w:t xml:space="preserve">7. </w:t>
      </w:r>
      <w:r>
        <w:rPr>
          <w:rStyle w:val="Strong"/>
          <w:sz w:val="22"/>
          <w:szCs w:val="22"/>
          <w:lang w:val="en-GB"/>
        </w:rPr>
        <w:tab/>
        <w:t>Contract description</w:t>
      </w:r>
    </w:p>
    <w:p w:rsidR="00705AE9" w:rsidRDefault="002B6924">
      <w:pPr>
        <w:ind w:left="360"/>
        <w:jc w:val="both"/>
      </w:pPr>
      <w:r>
        <w:rPr>
          <w:rStyle w:val="Emphasis"/>
          <w:i w:val="0"/>
          <w:color w:val="000000"/>
          <w:sz w:val="22"/>
          <w:szCs w:val="22"/>
          <w:lang w:val="en-GB"/>
        </w:rPr>
        <w:t xml:space="preserve">The aim of this contract is to engage a Civil Engineer expert for supporting the Project "Establishing of a new border cross check point (BCCP) </w:t>
      </w:r>
      <w:proofErr w:type="spellStart"/>
      <w:r>
        <w:rPr>
          <w:rStyle w:val="Emphasis"/>
          <w:i w:val="0"/>
          <w:color w:val="000000"/>
          <w:sz w:val="22"/>
          <w:szCs w:val="22"/>
          <w:lang w:val="en-GB"/>
        </w:rPr>
        <w:t>Strumyani</w:t>
      </w:r>
      <w:proofErr w:type="spellEnd"/>
      <w:r>
        <w:rPr>
          <w:rStyle w:val="Emphasis"/>
          <w:i w:val="0"/>
          <w:color w:val="000000"/>
          <w:sz w:val="22"/>
          <w:szCs w:val="22"/>
          <w:lang w:val="en-GB"/>
        </w:rPr>
        <w:t xml:space="preserve"> - </w:t>
      </w:r>
      <w:proofErr w:type="spellStart"/>
      <w:r>
        <w:rPr>
          <w:rStyle w:val="Emphasis"/>
          <w:i w:val="0"/>
          <w:color w:val="000000"/>
          <w:sz w:val="22"/>
          <w:szCs w:val="22"/>
          <w:lang w:val="en-GB"/>
        </w:rPr>
        <w:t>Berovo</w:t>
      </w:r>
      <w:proofErr w:type="spellEnd"/>
      <w:r>
        <w:rPr>
          <w:rStyle w:val="Emphasis"/>
          <w:i w:val="0"/>
          <w:color w:val="000000"/>
          <w:sz w:val="22"/>
          <w:szCs w:val="22"/>
          <w:lang w:val="en-GB"/>
        </w:rPr>
        <w:t xml:space="preserve"> (</w:t>
      </w:r>
      <w:proofErr w:type="spellStart"/>
      <w:r>
        <w:rPr>
          <w:rStyle w:val="Emphasis"/>
          <w:i w:val="0"/>
          <w:color w:val="000000"/>
          <w:sz w:val="22"/>
          <w:szCs w:val="22"/>
          <w:lang w:val="en-GB"/>
        </w:rPr>
        <w:t>Klepalo</w:t>
      </w:r>
      <w:proofErr w:type="spellEnd"/>
      <w:r>
        <w:rPr>
          <w:rStyle w:val="Emphasis"/>
          <w:i w:val="0"/>
          <w:color w:val="000000"/>
          <w:sz w:val="22"/>
          <w:szCs w:val="22"/>
          <w:lang w:val="en-GB"/>
        </w:rPr>
        <w:t>) between Bulgaria and North Macedonia". The Civil Engineer will be support to the pr</w:t>
      </w:r>
      <w:r>
        <w:rPr>
          <w:rStyle w:val="Emphasis"/>
          <w:i w:val="0"/>
          <w:color w:val="000000"/>
          <w:sz w:val="22"/>
          <w:szCs w:val="22"/>
          <w:lang w:val="en-GB"/>
        </w:rPr>
        <w:t xml:space="preserve">oject management team in the process of preparation of the planning/designing of the site as well as work closely with the design team (consultants) on the preparation of the urban plan/urban project and technical designs. </w:t>
      </w:r>
    </w:p>
    <w:p w:rsidR="00705AE9" w:rsidRDefault="002B6924">
      <w:pPr>
        <w:ind w:left="360"/>
        <w:jc w:val="both"/>
        <w:rPr>
          <w:rStyle w:val="Emphasis"/>
          <w:i w:val="0"/>
          <w:color w:val="000000"/>
          <w:sz w:val="22"/>
          <w:szCs w:val="22"/>
          <w:lang w:val="en-GB"/>
        </w:rPr>
      </w:pPr>
      <w:r>
        <w:rPr>
          <w:rStyle w:val="Emphasis"/>
          <w:i w:val="0"/>
          <w:color w:val="000000"/>
          <w:sz w:val="22"/>
          <w:szCs w:val="22"/>
          <w:lang w:val="en-GB"/>
        </w:rPr>
        <w:t>The Expert shall focus on the as</w:t>
      </w:r>
      <w:r>
        <w:rPr>
          <w:rStyle w:val="Emphasis"/>
          <w:i w:val="0"/>
          <w:color w:val="000000"/>
          <w:sz w:val="22"/>
          <w:szCs w:val="22"/>
          <w:lang w:val="en-GB"/>
        </w:rPr>
        <w:t>pects related to the structure of the construction and other technical aspects of the designing process, the conditions where the construction shall take place in the future in order the designs are materialised in the best way in the future, the condition</w:t>
      </w:r>
      <w:r>
        <w:rPr>
          <w:rStyle w:val="Emphasis"/>
          <w:i w:val="0"/>
          <w:color w:val="000000"/>
          <w:sz w:val="22"/>
          <w:szCs w:val="22"/>
          <w:lang w:val="en-GB"/>
        </w:rPr>
        <w:t xml:space="preserve">s of the land, among other aspects. The expert will coordinate its work with the Architect and other experts engaged for the Project in compliance to instructions received by the Contracting Authority. </w:t>
      </w:r>
    </w:p>
    <w:p w:rsidR="00705AE9" w:rsidRDefault="002B6924">
      <w:pPr>
        <w:ind w:left="360"/>
        <w:jc w:val="both"/>
      </w:pPr>
      <w:r>
        <w:rPr>
          <w:rStyle w:val="Emphasis"/>
          <w:i w:val="0"/>
          <w:color w:val="000000"/>
          <w:sz w:val="22"/>
          <w:szCs w:val="22"/>
          <w:lang w:val="en-GB"/>
        </w:rPr>
        <w:t>The Civil Engineer expertise will be needed during pe</w:t>
      </w:r>
      <w:r>
        <w:rPr>
          <w:rStyle w:val="Emphasis"/>
          <w:i w:val="0"/>
          <w:color w:val="000000"/>
          <w:sz w:val="22"/>
          <w:szCs w:val="22"/>
          <w:lang w:val="en-GB"/>
        </w:rPr>
        <w:t>rformance o</w:t>
      </w:r>
      <w:r>
        <w:rPr>
          <w:rStyle w:val="Emphasis"/>
          <w:i w:val="0"/>
          <w:color w:val="000000"/>
          <w:sz w:val="22"/>
          <w:szCs w:val="22"/>
          <w:lang w:val="en-GB"/>
        </w:rPr>
        <w:t>f the urban planning, design, approval and permitting process. More precisely, the Civil Engineer will assist the Customs Administration, in particular the Sector for Administrative and Technical Affairs in all steps of urban planning approval p</w:t>
      </w:r>
      <w:r>
        <w:rPr>
          <w:rStyle w:val="Emphasis"/>
          <w:i w:val="0"/>
          <w:color w:val="000000"/>
          <w:sz w:val="22"/>
          <w:szCs w:val="22"/>
          <w:lang w:val="en-GB"/>
        </w:rPr>
        <w:t xml:space="preserve">rocess meeting the national normative requirements </w:t>
      </w:r>
      <w:proofErr w:type="spellStart"/>
      <w:r>
        <w:rPr>
          <w:rStyle w:val="Emphasis"/>
          <w:i w:val="0"/>
          <w:color w:val="000000"/>
          <w:sz w:val="22"/>
          <w:szCs w:val="22"/>
          <w:lang w:val="en-GB"/>
        </w:rPr>
        <w:t>i.e</w:t>
      </w:r>
      <w:proofErr w:type="spellEnd"/>
      <w:r>
        <w:rPr>
          <w:rStyle w:val="Emphasis"/>
          <w:i w:val="0"/>
          <w:color w:val="000000"/>
          <w:sz w:val="22"/>
          <w:szCs w:val="22"/>
          <w:lang w:val="en-GB"/>
        </w:rPr>
        <w:t xml:space="preserve"> support the team on all technical and legal issues that might occur during the project performance until obtaining building permits. Moreover, the </w:t>
      </w:r>
      <w:r>
        <w:rPr>
          <w:rStyle w:val="Emphasis"/>
          <w:i w:val="0"/>
          <w:color w:val="000000"/>
          <w:sz w:val="22"/>
          <w:szCs w:val="22"/>
          <w:lang w:val="en-GB"/>
        </w:rPr>
        <w:lastRenderedPageBreak/>
        <w:t>Civil Engineer will support the Customs Administration</w:t>
      </w:r>
      <w:r>
        <w:rPr>
          <w:rStyle w:val="Emphasis"/>
          <w:i w:val="0"/>
          <w:color w:val="000000"/>
          <w:sz w:val="22"/>
          <w:szCs w:val="22"/>
          <w:lang w:val="en-GB"/>
        </w:rPr>
        <w:t xml:space="preserve"> in following any irregularities related to the project performance.</w:t>
      </w:r>
    </w:p>
    <w:p w:rsidR="00705AE9" w:rsidRDefault="00705AE9">
      <w:pPr>
        <w:ind w:left="360"/>
        <w:jc w:val="both"/>
        <w:rPr>
          <w:rStyle w:val="Emphasis"/>
          <w:i w:val="0"/>
          <w:color w:val="000000"/>
          <w:sz w:val="22"/>
          <w:szCs w:val="22"/>
          <w:lang w:val="en-GB"/>
        </w:rPr>
      </w:pPr>
    </w:p>
    <w:p w:rsidR="00705AE9" w:rsidRDefault="002B6924">
      <w:pPr>
        <w:ind w:left="709" w:hanging="349"/>
        <w:outlineLvl w:val="0"/>
      </w:pPr>
      <w:r>
        <w:rPr>
          <w:rStyle w:val="Emphasis"/>
          <w:b/>
          <w:bCs/>
          <w:i w:val="0"/>
          <w:color w:val="000000"/>
          <w:sz w:val="22"/>
          <w:szCs w:val="22"/>
          <w:lang w:val="en-GB"/>
        </w:rPr>
        <w:t xml:space="preserve">8. </w:t>
      </w:r>
      <w:r>
        <w:rPr>
          <w:rStyle w:val="Emphasis"/>
          <w:b/>
          <w:bCs/>
          <w:i w:val="0"/>
          <w:color w:val="000000"/>
          <w:sz w:val="22"/>
          <w:szCs w:val="22"/>
          <w:lang w:val="en-GB"/>
        </w:rPr>
        <w:tab/>
        <w:t>Number and titles of lots</w:t>
      </w:r>
    </w:p>
    <w:p w:rsidR="00705AE9" w:rsidRDefault="002B6924">
      <w:pPr>
        <w:ind w:left="709" w:hanging="349"/>
        <w:outlineLvl w:val="0"/>
      </w:pPr>
      <w:r>
        <w:rPr>
          <w:rStyle w:val="Emphasis"/>
          <w:i w:val="0"/>
          <w:sz w:val="22"/>
          <w:szCs w:val="22"/>
          <w:lang w:val="en-GB"/>
        </w:rPr>
        <w:t>One lot only</w:t>
      </w:r>
    </w:p>
    <w:p w:rsidR="00705AE9" w:rsidRDefault="002B6924">
      <w:pPr>
        <w:ind w:left="709" w:hanging="349"/>
        <w:outlineLvl w:val="0"/>
        <w:rPr>
          <w:rStyle w:val="Strong"/>
          <w:sz w:val="22"/>
          <w:szCs w:val="22"/>
          <w:lang w:val="en-GB"/>
        </w:rPr>
      </w:pPr>
      <w:r>
        <w:rPr>
          <w:rStyle w:val="Strong"/>
          <w:sz w:val="22"/>
          <w:szCs w:val="22"/>
          <w:lang w:val="en-GB"/>
        </w:rPr>
        <w:t xml:space="preserve">9. </w:t>
      </w:r>
      <w:r>
        <w:rPr>
          <w:rStyle w:val="Strong"/>
          <w:sz w:val="22"/>
          <w:szCs w:val="22"/>
          <w:lang w:val="en-GB"/>
        </w:rPr>
        <w:tab/>
        <w:t>Maximum budget</w:t>
      </w:r>
    </w:p>
    <w:p w:rsidR="00705AE9" w:rsidRDefault="002B6924">
      <w:pPr>
        <w:ind w:left="709" w:hanging="349"/>
        <w:outlineLvl w:val="0"/>
      </w:pPr>
      <w:r>
        <w:rPr>
          <w:rStyle w:val="Strong"/>
          <w:b w:val="0"/>
          <w:sz w:val="22"/>
          <w:szCs w:val="22"/>
        </w:rPr>
        <w:t>10.000 EUR</w:t>
      </w:r>
    </w:p>
    <w:p w:rsidR="00705AE9" w:rsidRDefault="002B6924">
      <w:pPr>
        <w:pStyle w:val="Blockquote"/>
        <w:jc w:val="both"/>
        <w:rPr>
          <w:sz w:val="22"/>
          <w:szCs w:val="22"/>
          <w:lang w:val="en-GB"/>
        </w:rPr>
      </w:pPr>
      <w:r>
        <w:rPr>
          <w:noProof/>
          <w:sz w:val="22"/>
          <w:szCs w:val="22"/>
          <w:lang w:val="en-GB"/>
        </w:rPr>
        <mc:AlternateContent>
          <mc:Choice Requires="wps">
            <w:drawing>
              <wp:anchor distT="11430" distB="11430" distL="11430" distR="11430" simplePos="0" relativeHeight="3" behindDoc="0" locked="0" layoutInCell="1" allowOverlap="1" wp14:anchorId="1A814843">
                <wp:simplePos x="0" y="0"/>
                <wp:positionH relativeFrom="column">
                  <wp:posOffset>-13335</wp:posOffset>
                </wp:positionH>
                <wp:positionV relativeFrom="paragraph">
                  <wp:posOffset>222885</wp:posOffset>
                </wp:positionV>
                <wp:extent cx="5943600" cy="635"/>
                <wp:effectExtent l="11430" t="11430" r="11430" b="11430"/>
                <wp:wrapNone/>
                <wp:docPr id="2" name="Shape2"/>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083636C" id="Shape2" o:spid="_x0000_s1026" style="position:absolute;z-index:3;visibility:visible;mso-wrap-style:square;mso-wrap-distance-left:.9pt;mso-wrap-distance-top:.9pt;mso-wrap-distance-right:.9pt;mso-wrap-distance-bottom:.9pt;mso-position-horizontal:absolute;mso-position-horizontal-relative:text;mso-position-vertical:absolute;mso-position-vertical-relative:text"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" strokecolor="#d4d4d4" strokeweight=".62mm"/>
            </w:pict>
          </mc:Fallback>
        </mc:AlternateContent>
      </w:r>
    </w:p>
    <w:p w:rsidR="00705AE9" w:rsidRDefault="002B6924">
      <w:pPr>
        <w:jc w:val="center"/>
        <w:rPr>
          <w:sz w:val="28"/>
          <w:szCs w:val="28"/>
          <w:lang w:val="en-GB"/>
        </w:rPr>
      </w:pPr>
      <w:r>
        <w:rPr>
          <w:rStyle w:val="Strong"/>
          <w:sz w:val="28"/>
          <w:szCs w:val="28"/>
          <w:lang w:val="en-GB"/>
        </w:rPr>
        <w:t>CONDITIONS OF PARTICIPATION</w:t>
      </w:r>
    </w:p>
    <w:p w:rsidR="00705AE9" w:rsidRDefault="002B6924">
      <w:pPr>
        <w:pStyle w:val="FootnoteText"/>
        <w:ind w:firstLine="426"/>
        <w:rPr>
          <w:rStyle w:val="Strong"/>
          <w:sz w:val="22"/>
          <w:szCs w:val="22"/>
          <w:lang w:val="en-GB"/>
        </w:rPr>
      </w:pPr>
      <w:r>
        <w:rPr>
          <w:rStyle w:val="Strong"/>
          <w:sz w:val="22"/>
          <w:szCs w:val="22"/>
          <w:lang w:val="en-GB"/>
        </w:rPr>
        <w:t>10. Legal basis, eligibility and rules of origin</w:t>
      </w:r>
    </w:p>
    <w:p w:rsidR="00705AE9" w:rsidRDefault="002B6924">
      <w:pPr>
        <w:pStyle w:val="FootnoteText"/>
        <w:spacing w:before="280" w:after="280"/>
        <w:ind w:left="449"/>
      </w:pPr>
      <w:r>
        <w:rPr>
          <w:rStyle w:val="normaltextrun"/>
          <w:sz w:val="22"/>
          <w:szCs w:val="22"/>
          <w:lang w:val="fr-BE" w:eastAsia="fr-BE"/>
        </w:rPr>
        <w:t xml:space="preserve">The </w:t>
      </w:r>
      <w:proofErr w:type="spellStart"/>
      <w:r>
        <w:rPr>
          <w:rStyle w:val="normaltextrun"/>
          <w:sz w:val="22"/>
          <w:szCs w:val="22"/>
          <w:lang w:val="fr-BE" w:eastAsia="fr-BE"/>
        </w:rPr>
        <w:t>legal</w:t>
      </w:r>
      <w:proofErr w:type="spellEnd"/>
      <w:r>
        <w:rPr>
          <w:rStyle w:val="normaltextrun"/>
          <w:sz w:val="22"/>
          <w:szCs w:val="22"/>
          <w:lang w:val="fr-BE" w:eastAsia="fr-BE"/>
        </w:rPr>
        <w:t xml:space="preserve"> basis of </w:t>
      </w:r>
      <w:proofErr w:type="spellStart"/>
      <w:r>
        <w:rPr>
          <w:rStyle w:val="normaltextrun"/>
          <w:sz w:val="22"/>
          <w:szCs w:val="22"/>
          <w:lang w:val="fr-BE" w:eastAsia="fr-BE"/>
        </w:rPr>
        <w:t>this</w:t>
      </w:r>
      <w:proofErr w:type="spellEnd"/>
      <w:r>
        <w:rPr>
          <w:rStyle w:val="normaltextrun"/>
          <w:sz w:val="22"/>
          <w:szCs w:val="22"/>
          <w:lang w:val="fr-BE" w:eastAsia="fr-BE"/>
        </w:rPr>
        <w:t xml:space="preserve"> </w:t>
      </w:r>
      <w:proofErr w:type="spellStart"/>
      <w:r>
        <w:rPr>
          <w:rStyle w:val="normaltextrun"/>
          <w:sz w:val="22"/>
          <w:szCs w:val="22"/>
          <w:lang w:val="fr-BE" w:eastAsia="fr-BE"/>
        </w:rPr>
        <w:t>procedure</w:t>
      </w:r>
      <w:proofErr w:type="spellEnd"/>
      <w:r>
        <w:rPr>
          <w:rStyle w:val="normaltextrun"/>
          <w:sz w:val="22"/>
          <w:szCs w:val="22"/>
          <w:lang w:val="fr-BE" w:eastAsia="fr-BE"/>
        </w:rPr>
        <w:t xml:space="preserve"> </w:t>
      </w:r>
      <w:proofErr w:type="spellStart"/>
      <w:r>
        <w:rPr>
          <w:rStyle w:val="normaltextrun"/>
          <w:sz w:val="22"/>
          <w:szCs w:val="22"/>
          <w:lang w:val="fr-BE" w:eastAsia="fr-BE"/>
        </w:rPr>
        <w:t>is</w:t>
      </w:r>
      <w:proofErr w:type="spellEnd"/>
      <w:r>
        <w:rPr>
          <w:rStyle w:val="normaltextrun"/>
          <w:sz w:val="22"/>
          <w:szCs w:val="22"/>
          <w:lang w:val="fr-BE" w:eastAsia="fr-BE"/>
        </w:rPr>
        <w:t xml:space="preserve"> </w:t>
      </w:r>
      <w:proofErr w:type="spellStart"/>
      <w:r>
        <w:rPr>
          <w:rStyle w:val="normaltextrun"/>
          <w:sz w:val="22"/>
          <w:szCs w:val="22"/>
          <w:lang w:val="fr-BE" w:eastAsia="fr-BE"/>
        </w:rPr>
        <w:t>Regulation</w:t>
      </w:r>
      <w:proofErr w:type="spellEnd"/>
      <w:r>
        <w:rPr>
          <w:rStyle w:val="normaltextrun"/>
          <w:sz w:val="22"/>
          <w:szCs w:val="22"/>
          <w:lang w:val="fr-BE" w:eastAsia="fr-BE"/>
        </w:rPr>
        <w:t xml:space="preserve"> (EU) No 2021/1529 </w:t>
      </w:r>
      <w:proofErr w:type="spellStart"/>
      <w:r>
        <w:rPr>
          <w:rStyle w:val="normaltextrun"/>
          <w:sz w:val="22"/>
          <w:szCs w:val="22"/>
          <w:lang w:val="fr-BE" w:eastAsia="fr-BE"/>
        </w:rPr>
        <w:t>establishing</w:t>
      </w:r>
      <w:proofErr w:type="spellEnd"/>
      <w:r>
        <w:rPr>
          <w:rStyle w:val="normaltextrun"/>
          <w:sz w:val="22"/>
          <w:szCs w:val="22"/>
          <w:lang w:val="fr-BE" w:eastAsia="fr-BE"/>
        </w:rPr>
        <w:t xml:space="preserve"> the Instrument for Pre-accession Assistance (IPA III). </w:t>
      </w:r>
      <w:proofErr w:type="spellStart"/>
      <w:r>
        <w:rPr>
          <w:rStyle w:val="normaltextrun"/>
          <w:sz w:val="22"/>
          <w:szCs w:val="22"/>
          <w:lang w:val="fr-BE" w:eastAsia="fr-BE"/>
        </w:rPr>
        <w:t>See</w:t>
      </w:r>
      <w:proofErr w:type="spellEnd"/>
      <w:r>
        <w:rPr>
          <w:rStyle w:val="normaltextrun"/>
          <w:sz w:val="22"/>
          <w:szCs w:val="22"/>
          <w:lang w:val="fr-BE" w:eastAsia="fr-BE"/>
        </w:rPr>
        <w:t xml:space="preserve"> Annex A2 of the </w:t>
      </w:r>
      <w:proofErr w:type="spellStart"/>
      <w:r>
        <w:rPr>
          <w:rStyle w:val="normaltextrun"/>
          <w:sz w:val="22"/>
          <w:szCs w:val="22"/>
          <w:lang w:val="fr-BE" w:eastAsia="fr-BE"/>
        </w:rPr>
        <w:t>practical</w:t>
      </w:r>
      <w:proofErr w:type="spellEnd"/>
      <w:r>
        <w:rPr>
          <w:rStyle w:val="normaltextrun"/>
          <w:sz w:val="22"/>
          <w:szCs w:val="22"/>
          <w:lang w:val="fr-BE" w:eastAsia="fr-BE"/>
        </w:rPr>
        <w:t xml:space="preserve"> guide.</w:t>
      </w:r>
    </w:p>
    <w:p w:rsidR="00705AE9" w:rsidRDefault="002B6924">
      <w:pPr>
        <w:pStyle w:val="paragraph"/>
        <w:spacing w:before="280" w:after="280"/>
        <w:ind w:left="449"/>
        <w:jc w:val="both"/>
      </w:pPr>
      <w:r>
        <w:rPr>
          <w:rStyle w:val="normaltextrun"/>
          <w:sz w:val="22"/>
          <w:szCs w:val="22"/>
        </w:rPr>
        <w:t xml:space="preserve">For </w:t>
      </w:r>
      <w:proofErr w:type="spellStart"/>
      <w:r>
        <w:rPr>
          <w:rStyle w:val="normaltextrun"/>
          <w:sz w:val="22"/>
          <w:szCs w:val="22"/>
        </w:rPr>
        <w:t>this</w:t>
      </w:r>
      <w:proofErr w:type="spellEnd"/>
      <w:r>
        <w:rPr>
          <w:rStyle w:val="normaltextrun"/>
          <w:sz w:val="22"/>
          <w:szCs w:val="22"/>
        </w:rPr>
        <w:t xml:space="preserve"> </w:t>
      </w:r>
      <w:proofErr w:type="spellStart"/>
      <w:r>
        <w:rPr>
          <w:rStyle w:val="normaltextrun"/>
          <w:sz w:val="22"/>
          <w:szCs w:val="22"/>
        </w:rPr>
        <w:t>contract</w:t>
      </w:r>
      <w:proofErr w:type="spellEnd"/>
      <w:r>
        <w:rPr>
          <w:rStyle w:val="normaltextrun"/>
          <w:sz w:val="22"/>
          <w:szCs w:val="22"/>
        </w:rPr>
        <w:t xml:space="preserve"> </w:t>
      </w:r>
      <w:proofErr w:type="spellStart"/>
      <w:r>
        <w:rPr>
          <w:rStyle w:val="normaltextrun"/>
          <w:sz w:val="22"/>
          <w:szCs w:val="22"/>
        </w:rPr>
        <w:t>award</w:t>
      </w:r>
      <w:proofErr w:type="spellEnd"/>
      <w:r>
        <w:rPr>
          <w:rStyle w:val="normaltextrun"/>
          <w:sz w:val="22"/>
          <w:szCs w:val="22"/>
        </w:rPr>
        <w:t xml:space="preserve"> </w:t>
      </w:r>
      <w:proofErr w:type="spellStart"/>
      <w:r>
        <w:rPr>
          <w:rStyle w:val="normaltextrun"/>
          <w:sz w:val="22"/>
          <w:szCs w:val="22"/>
        </w:rPr>
        <w:t>procedure</w:t>
      </w:r>
      <w:proofErr w:type="spellEnd"/>
      <w:r>
        <w:rPr>
          <w:rStyle w:val="normaltextrun"/>
          <w:sz w:val="22"/>
          <w:szCs w:val="22"/>
        </w:rPr>
        <w:t xml:space="preserve">, participation </w:t>
      </w:r>
      <w:proofErr w:type="spellStart"/>
      <w:r>
        <w:rPr>
          <w:rStyle w:val="normaltextrun"/>
          <w:sz w:val="22"/>
          <w:szCs w:val="22"/>
        </w:rPr>
        <w:t>is</w:t>
      </w:r>
      <w:proofErr w:type="spellEnd"/>
      <w:r>
        <w:rPr>
          <w:rStyle w:val="normaltextrun"/>
          <w:sz w:val="22"/>
          <w:szCs w:val="22"/>
        </w:rPr>
        <w:t xml:space="preserve"> open to all </w:t>
      </w:r>
      <w:proofErr w:type="spellStart"/>
      <w:r>
        <w:rPr>
          <w:rStyle w:val="normaltextrun"/>
          <w:sz w:val="22"/>
          <w:szCs w:val="22"/>
        </w:rPr>
        <w:t>natural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who</w:t>
      </w:r>
      <w:proofErr w:type="spellEnd"/>
      <w:r>
        <w:rPr>
          <w:rStyle w:val="normaltextrun"/>
          <w:sz w:val="22"/>
          <w:szCs w:val="22"/>
        </w:rPr>
        <w:t xml:space="preserve"> are </w:t>
      </w:r>
      <w:proofErr w:type="spellStart"/>
      <w:r>
        <w:rPr>
          <w:rStyle w:val="normaltextrun"/>
          <w:sz w:val="22"/>
          <w:szCs w:val="22"/>
        </w:rPr>
        <w:t>nationals</w:t>
      </w:r>
      <w:proofErr w:type="spellEnd"/>
      <w:r>
        <w:rPr>
          <w:rStyle w:val="normaltextrun"/>
          <w:sz w:val="22"/>
          <w:szCs w:val="22"/>
        </w:rPr>
        <w:t xml:space="preserve"> of and </w:t>
      </w:r>
      <w:proofErr w:type="spellStart"/>
      <w:r>
        <w:rPr>
          <w:rStyle w:val="normaltextrun"/>
          <w:sz w:val="22"/>
          <w:szCs w:val="22"/>
        </w:rPr>
        <w:t>legal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r>
        <w:rPr>
          <w:rStyle w:val="normaltextrun"/>
          <w:sz w:val="22"/>
          <w:szCs w:val="22"/>
        </w:rPr>
        <w:t>(</w:t>
      </w:r>
      <w:proofErr w:type="spellStart"/>
      <w:r>
        <w:rPr>
          <w:rStyle w:val="normaltextrun"/>
          <w:sz w:val="22"/>
          <w:szCs w:val="22"/>
        </w:rPr>
        <w:t>participating</w:t>
      </w:r>
      <w:proofErr w:type="spellEnd"/>
      <w:r>
        <w:rPr>
          <w:rStyle w:val="normaltextrun"/>
          <w:sz w:val="22"/>
          <w:szCs w:val="22"/>
        </w:rPr>
        <w:t xml:space="preserve"> </w:t>
      </w:r>
      <w:proofErr w:type="spellStart"/>
      <w:r>
        <w:rPr>
          <w:rStyle w:val="normaltextrun"/>
          <w:sz w:val="22"/>
          <w:szCs w:val="22"/>
        </w:rPr>
        <w:t>either</w:t>
      </w:r>
      <w:proofErr w:type="spellEnd"/>
      <w:r>
        <w:rPr>
          <w:rStyle w:val="normaltextrun"/>
          <w:sz w:val="22"/>
          <w:szCs w:val="22"/>
        </w:rPr>
        <w:t xml:space="preserve"> </w:t>
      </w:r>
      <w:proofErr w:type="spellStart"/>
      <w:r>
        <w:rPr>
          <w:rStyle w:val="normaltextrun"/>
          <w:sz w:val="22"/>
          <w:szCs w:val="22"/>
        </w:rPr>
        <w:t>individually</w:t>
      </w:r>
      <w:proofErr w:type="spellEnd"/>
      <w:r>
        <w:rPr>
          <w:rStyle w:val="normaltextrun"/>
          <w:sz w:val="22"/>
          <w:szCs w:val="22"/>
        </w:rPr>
        <w:t xml:space="preserve"> or in a </w:t>
      </w:r>
      <w:proofErr w:type="spellStart"/>
      <w:r>
        <w:rPr>
          <w:rStyle w:val="normaltextrun"/>
          <w:sz w:val="22"/>
          <w:szCs w:val="22"/>
        </w:rPr>
        <w:t>grouping</w:t>
      </w:r>
      <w:proofErr w:type="spellEnd"/>
      <w:r>
        <w:rPr>
          <w:rStyle w:val="normaltextrun"/>
          <w:sz w:val="22"/>
          <w:szCs w:val="22"/>
        </w:rPr>
        <w:t xml:space="preserve"> – consortium – of candidates/</w:t>
      </w:r>
      <w:proofErr w:type="spellStart"/>
      <w:r>
        <w:rPr>
          <w:rStyle w:val="normaltextrun"/>
          <w:sz w:val="22"/>
          <w:szCs w:val="22"/>
        </w:rPr>
        <w:t>tenderers</w:t>
      </w:r>
      <w:proofErr w:type="spellEnd"/>
      <w:r>
        <w:rPr>
          <w:rStyle w:val="normaltextrun"/>
          <w:sz w:val="22"/>
          <w:szCs w:val="22"/>
        </w:rPr>
        <w:t xml:space="preserve">) </w:t>
      </w:r>
      <w:proofErr w:type="spellStart"/>
      <w:r>
        <w:rPr>
          <w:rStyle w:val="normaltextrun"/>
          <w:sz w:val="22"/>
          <w:szCs w:val="22"/>
        </w:rPr>
        <w:t>which</w:t>
      </w:r>
      <w:proofErr w:type="spellEnd"/>
      <w:r>
        <w:rPr>
          <w:rStyle w:val="normaltextrun"/>
          <w:sz w:val="22"/>
          <w:szCs w:val="22"/>
        </w:rPr>
        <w:t xml:space="preserve"> are </w:t>
      </w:r>
      <w:proofErr w:type="spellStart"/>
      <w:r>
        <w:rPr>
          <w:rStyle w:val="normaltextrun"/>
          <w:sz w:val="22"/>
          <w:szCs w:val="22"/>
        </w:rPr>
        <w:t>effectively</w:t>
      </w:r>
      <w:proofErr w:type="spellEnd"/>
      <w:r>
        <w:rPr>
          <w:rStyle w:val="normaltextrun"/>
          <w:sz w:val="22"/>
          <w:szCs w:val="22"/>
        </w:rPr>
        <w:t xml:space="preserve"> </w:t>
      </w:r>
      <w:proofErr w:type="spellStart"/>
      <w:r>
        <w:rPr>
          <w:rStyle w:val="normaltextrun"/>
          <w:sz w:val="22"/>
          <w:szCs w:val="22"/>
        </w:rPr>
        <w:t>established</w:t>
      </w:r>
      <w:proofErr w:type="spellEnd"/>
      <w:r>
        <w:rPr>
          <w:rStyle w:val="normaltextrun"/>
          <w:sz w:val="22"/>
          <w:szCs w:val="22"/>
        </w:rPr>
        <w:t xml:space="preserve"> in </w:t>
      </w:r>
      <w:proofErr w:type="gramStart"/>
      <w:r>
        <w:rPr>
          <w:rStyle w:val="normaltextrun"/>
          <w:sz w:val="22"/>
          <w:szCs w:val="22"/>
        </w:rPr>
        <w:t xml:space="preserve">a  </w:t>
      </w:r>
      <w:proofErr w:type="spellStart"/>
      <w:r>
        <w:rPr>
          <w:rStyle w:val="normaltextrun"/>
          <w:sz w:val="22"/>
          <w:szCs w:val="22"/>
        </w:rPr>
        <w:t>Member</w:t>
      </w:r>
      <w:proofErr w:type="spellEnd"/>
      <w:proofErr w:type="gramEnd"/>
      <w:r>
        <w:rPr>
          <w:rStyle w:val="normaltextrun"/>
          <w:sz w:val="22"/>
          <w:szCs w:val="22"/>
        </w:rPr>
        <w:t xml:space="preserve"> State of the </w:t>
      </w:r>
      <w:proofErr w:type="spellStart"/>
      <w:r>
        <w:rPr>
          <w:rStyle w:val="normaltextrun"/>
          <w:sz w:val="22"/>
          <w:szCs w:val="22"/>
        </w:rPr>
        <w:t>European</w:t>
      </w:r>
      <w:proofErr w:type="spellEnd"/>
      <w:r>
        <w:rPr>
          <w:rStyle w:val="normaltextrun"/>
          <w:sz w:val="22"/>
          <w:szCs w:val="22"/>
        </w:rPr>
        <w:t xml:space="preserve"> Union or in an </w:t>
      </w:r>
      <w:proofErr w:type="spellStart"/>
      <w:r>
        <w:rPr>
          <w:rStyle w:val="normaltextrun"/>
          <w:sz w:val="22"/>
          <w:szCs w:val="22"/>
        </w:rPr>
        <w:t>eligible</w:t>
      </w:r>
      <w:proofErr w:type="spellEnd"/>
      <w:r>
        <w:rPr>
          <w:rStyle w:val="normaltextrun"/>
          <w:sz w:val="22"/>
          <w:szCs w:val="22"/>
        </w:rPr>
        <w:t xml:space="preserve"> country or </w:t>
      </w:r>
      <w:proofErr w:type="spellStart"/>
      <w:r>
        <w:rPr>
          <w:rStyle w:val="normaltextrun"/>
          <w:sz w:val="22"/>
          <w:szCs w:val="22"/>
        </w:rPr>
        <w:t>territory</w:t>
      </w:r>
      <w:proofErr w:type="spellEnd"/>
      <w:r>
        <w:rPr>
          <w:rStyle w:val="normaltextrun"/>
          <w:sz w:val="22"/>
          <w:szCs w:val="22"/>
        </w:rPr>
        <w:t xml:space="preserve"> as </w:t>
      </w:r>
      <w:proofErr w:type="spellStart"/>
      <w:r>
        <w:rPr>
          <w:rStyle w:val="normaltextrun"/>
          <w:sz w:val="22"/>
          <w:szCs w:val="22"/>
        </w:rPr>
        <w:t>defined</w:t>
      </w:r>
      <w:proofErr w:type="spellEnd"/>
      <w:r>
        <w:rPr>
          <w:rStyle w:val="normaltextrun"/>
          <w:sz w:val="22"/>
          <w:szCs w:val="22"/>
        </w:rPr>
        <w:t xml:space="preserve"> </w:t>
      </w:r>
      <w:proofErr w:type="spellStart"/>
      <w:r>
        <w:rPr>
          <w:rStyle w:val="normaltextrun"/>
          <w:sz w:val="22"/>
          <w:szCs w:val="22"/>
        </w:rPr>
        <w:t>under</w:t>
      </w:r>
      <w:proofErr w:type="spellEnd"/>
      <w:r>
        <w:rPr>
          <w:rStyle w:val="normaltextrun"/>
          <w:sz w:val="22"/>
          <w:szCs w:val="22"/>
        </w:rPr>
        <w:t xml:space="preserve"> Article 11 of </w:t>
      </w:r>
      <w:proofErr w:type="spellStart"/>
      <w:r>
        <w:rPr>
          <w:rStyle w:val="normaltextrun"/>
          <w:sz w:val="22"/>
          <w:szCs w:val="22"/>
        </w:rPr>
        <w:t>Regulation</w:t>
      </w:r>
      <w:proofErr w:type="spellEnd"/>
      <w:r>
        <w:rPr>
          <w:rStyle w:val="normaltextrun"/>
          <w:sz w:val="22"/>
          <w:szCs w:val="22"/>
        </w:rPr>
        <w:t xml:space="preserve"> (EU) No.</w:t>
      </w:r>
      <w:r>
        <w:rPr>
          <w:rStyle w:val="normaltextrun"/>
          <w:sz w:val="22"/>
          <w:szCs w:val="22"/>
        </w:rPr>
        <w:t xml:space="preserve"> 2021/1529 </w:t>
      </w:r>
      <w:proofErr w:type="spellStart"/>
      <w:r>
        <w:rPr>
          <w:rStyle w:val="normaltextrun"/>
          <w:sz w:val="22"/>
          <w:szCs w:val="22"/>
        </w:rPr>
        <w:t>establishing</w:t>
      </w:r>
      <w:proofErr w:type="spellEnd"/>
      <w:r>
        <w:rPr>
          <w:rStyle w:val="normaltextrun"/>
          <w:sz w:val="22"/>
          <w:szCs w:val="22"/>
        </w:rPr>
        <w:t xml:space="preserve"> the Instrument for Pre-accession Assistance (IPA III). </w:t>
      </w:r>
    </w:p>
    <w:p w:rsidR="00705AE9" w:rsidRDefault="002B6924">
      <w:pPr>
        <w:pStyle w:val="paragraph"/>
        <w:spacing w:before="0" w:beforeAutospacing="0" w:after="0" w:afterAutospacing="0"/>
        <w:ind w:left="426"/>
        <w:jc w:val="both"/>
        <w:textAlignment w:val="baseline"/>
      </w:pPr>
      <w:r>
        <w:rPr>
          <w:rStyle w:val="normaltextrun"/>
          <w:sz w:val="22"/>
          <w:szCs w:val="22"/>
        </w:rPr>
        <w:t xml:space="preserve">The </w:t>
      </w:r>
      <w:proofErr w:type="spellStart"/>
      <w:r>
        <w:rPr>
          <w:rStyle w:val="normaltextrun"/>
          <w:sz w:val="22"/>
          <w:szCs w:val="22"/>
        </w:rPr>
        <w:t>legal</w:t>
      </w:r>
      <w:proofErr w:type="spellEnd"/>
      <w:r>
        <w:rPr>
          <w:rStyle w:val="normaltextrun"/>
          <w:sz w:val="22"/>
          <w:szCs w:val="22"/>
        </w:rPr>
        <w:t xml:space="preserve"> basis of </w:t>
      </w:r>
      <w:proofErr w:type="spellStart"/>
      <w:r>
        <w:rPr>
          <w:rStyle w:val="normaltextrun"/>
          <w:sz w:val="22"/>
          <w:szCs w:val="22"/>
        </w:rPr>
        <w:t>this</w:t>
      </w:r>
      <w:proofErr w:type="spellEnd"/>
      <w:r>
        <w:rPr>
          <w:rStyle w:val="normaltextrun"/>
          <w:sz w:val="22"/>
          <w:szCs w:val="22"/>
        </w:rPr>
        <w:t xml:space="preserve"> </w:t>
      </w:r>
      <w:proofErr w:type="spellStart"/>
      <w:r>
        <w:rPr>
          <w:rStyle w:val="normaltextrun"/>
          <w:sz w:val="22"/>
          <w:szCs w:val="22"/>
        </w:rPr>
        <w:t>procedure</w:t>
      </w:r>
      <w:proofErr w:type="spellEnd"/>
      <w:r>
        <w:rPr>
          <w:rStyle w:val="normaltextrun"/>
          <w:sz w:val="22"/>
          <w:szCs w:val="22"/>
        </w:rPr>
        <w:t xml:space="preserve"> </w:t>
      </w:r>
      <w:proofErr w:type="spellStart"/>
      <w:r>
        <w:rPr>
          <w:rStyle w:val="normaltextrun"/>
          <w:sz w:val="22"/>
          <w:szCs w:val="22"/>
        </w:rPr>
        <w:t>is</w:t>
      </w:r>
      <w:proofErr w:type="spellEnd"/>
      <w:r>
        <w:rPr>
          <w:rStyle w:val="normaltextrun"/>
          <w:sz w:val="22"/>
          <w:szCs w:val="22"/>
        </w:rPr>
        <w:t xml:space="preserve"> Article 58(2) of </w:t>
      </w:r>
      <w:proofErr w:type="spellStart"/>
      <w:r>
        <w:rPr>
          <w:rStyle w:val="normaltextrun"/>
          <w:sz w:val="22"/>
          <w:szCs w:val="22"/>
        </w:rPr>
        <w:t>Regulation</w:t>
      </w:r>
      <w:proofErr w:type="spellEnd"/>
      <w:r>
        <w:rPr>
          <w:rStyle w:val="normaltextrun"/>
          <w:sz w:val="22"/>
          <w:szCs w:val="22"/>
        </w:rPr>
        <w:t xml:space="preserve"> </w:t>
      </w:r>
      <w:r>
        <w:rPr>
          <w:rStyle w:val="normaltextrun"/>
          <w:color w:val="000000"/>
          <w:sz w:val="22"/>
          <w:szCs w:val="22"/>
          <w:lang w:val="en-GB" w:eastAsia="en-US"/>
        </w:rPr>
        <w:t>(</w:t>
      </w:r>
      <w:proofErr w:type="spellStart"/>
      <w:proofErr w:type="gramStart"/>
      <w:r>
        <w:rPr>
          <w:rStyle w:val="normaltextrun"/>
          <w:color w:val="000000"/>
          <w:sz w:val="22"/>
          <w:szCs w:val="22"/>
          <w:lang w:val="en-GB" w:eastAsia="en-US"/>
        </w:rPr>
        <w:t>EU,Euratom</w:t>
      </w:r>
      <w:proofErr w:type="spellEnd"/>
      <w:proofErr w:type="gramEnd"/>
      <w:r>
        <w:rPr>
          <w:rStyle w:val="normaltextrun"/>
          <w:color w:val="000000"/>
          <w:sz w:val="22"/>
          <w:szCs w:val="22"/>
          <w:lang w:val="en-GB" w:eastAsia="en-US"/>
        </w:rPr>
        <w:t>) 2018/1046 of the European Parliament and of the Council of 18 July 2018 on the financial rules app</w:t>
      </w:r>
      <w:r>
        <w:rPr>
          <w:rStyle w:val="normaltextrun"/>
          <w:color w:val="000000"/>
          <w:sz w:val="22"/>
          <w:szCs w:val="22"/>
          <w:lang w:val="en-GB" w:eastAsia="en-US"/>
        </w:rPr>
        <w:t>licable to the general budget of the Union.</w:t>
      </w:r>
    </w:p>
    <w:p w:rsidR="00705AE9" w:rsidRDefault="002B6924">
      <w:pPr>
        <w:pStyle w:val="paragraph"/>
        <w:spacing w:before="280" w:after="280"/>
        <w:ind w:left="449"/>
      </w:pPr>
      <w:r>
        <w:rPr>
          <w:rStyle w:val="normaltextrun"/>
          <w:color w:val="000000"/>
          <w:sz w:val="22"/>
          <w:szCs w:val="22"/>
          <w:lang w:val="en-GB" w:eastAsia="en-US"/>
        </w:rPr>
        <w:t>Participation in this procurement procedure is open on equal terms to all natural</w:t>
      </w:r>
      <w:r>
        <w:rPr>
          <w:rStyle w:val="normaltextrun"/>
          <w:sz w:val="22"/>
          <w:szCs w:val="22"/>
          <w:lang w:val="en-GB" w:eastAsia="en-US"/>
        </w:rPr>
        <w:t xml:space="preserve"> </w:t>
      </w:r>
      <w:r>
        <w:rPr>
          <w:rStyle w:val="normaltextrun"/>
          <w:color w:val="000000"/>
          <w:sz w:val="22"/>
          <w:szCs w:val="22"/>
          <w:lang w:val="en-GB" w:eastAsia="en-US"/>
        </w:rPr>
        <w:t xml:space="preserve">and legal persons falling within the scope of the Treaties. </w:t>
      </w:r>
    </w:p>
    <w:p w:rsidR="00705AE9" w:rsidRDefault="002B6924">
      <w:pPr>
        <w:pStyle w:val="paragraph"/>
        <w:spacing w:before="280" w:after="280"/>
        <w:ind w:left="709" w:hanging="349"/>
        <w:outlineLvl w:val="0"/>
        <w:rPr>
          <w:sz w:val="22"/>
          <w:szCs w:val="22"/>
          <w:lang w:val="en-GB"/>
        </w:rPr>
      </w:pPr>
      <w:bookmarkStart w:id="0" w:name="_DV_M238"/>
      <w:bookmarkStart w:id="1" w:name="_DV_M237"/>
      <w:bookmarkStart w:id="2" w:name="_DV_M236"/>
      <w:bookmarkStart w:id="3" w:name="_DV_M235"/>
      <w:bookmarkStart w:id="4" w:name="_DV_M234"/>
      <w:bookmarkStart w:id="5" w:name="_DV_M233"/>
      <w:bookmarkStart w:id="6" w:name="_DV_M232"/>
      <w:bookmarkStart w:id="7" w:name="_DV_M231"/>
      <w:bookmarkStart w:id="8" w:name="_DV_M229"/>
      <w:bookmarkStart w:id="9" w:name="_DV_M227"/>
      <w:bookmarkStart w:id="10" w:name="_DV_M226"/>
      <w:bookmarkStart w:id="11" w:name="_DV_M225"/>
      <w:bookmarkStart w:id="12" w:name="_DV_M224"/>
      <w:bookmarkStart w:id="13" w:name="_DV_M201"/>
      <w:bookmarkEnd w:id="0"/>
      <w:bookmarkEnd w:id="1"/>
      <w:bookmarkEnd w:id="2"/>
      <w:bookmarkEnd w:id="3"/>
      <w:bookmarkEnd w:id="4"/>
      <w:bookmarkEnd w:id="5"/>
      <w:bookmarkEnd w:id="6"/>
      <w:bookmarkEnd w:id="7"/>
      <w:bookmarkEnd w:id="8"/>
      <w:bookmarkEnd w:id="9"/>
      <w:bookmarkEnd w:id="10"/>
      <w:bookmarkEnd w:id="11"/>
      <w:bookmarkEnd w:id="12"/>
      <w:bookmarkEnd w:id="13"/>
      <w:r>
        <w:rPr>
          <w:rStyle w:val="Strong"/>
          <w:sz w:val="22"/>
          <w:szCs w:val="22"/>
          <w:lang w:val="en-GB"/>
        </w:rPr>
        <w:t xml:space="preserve">11. </w:t>
      </w:r>
      <w:r>
        <w:rPr>
          <w:rStyle w:val="Strong"/>
          <w:sz w:val="22"/>
          <w:szCs w:val="22"/>
          <w:lang w:val="en-GB"/>
        </w:rPr>
        <w:tab/>
        <w:t>Number of tenders</w:t>
      </w:r>
    </w:p>
    <w:p w:rsidR="00705AE9" w:rsidRDefault="002B6924">
      <w:pPr>
        <w:pStyle w:val="Blockquote"/>
        <w:jc w:val="both"/>
        <w:rPr>
          <w:sz w:val="22"/>
          <w:szCs w:val="22"/>
          <w:lang w:val="en-GB"/>
        </w:rPr>
      </w:pPr>
      <w:r>
        <w:rPr>
          <w:sz w:val="22"/>
          <w:szCs w:val="22"/>
          <w:lang w:val="en-GB"/>
        </w:rPr>
        <w:t xml:space="preserve">No more than one tender can be submitted by a </w:t>
      </w:r>
      <w:r>
        <w:rPr>
          <w:sz w:val="22"/>
          <w:szCs w:val="22"/>
          <w:lang w:val="en-GB"/>
        </w:rPr>
        <w:t>natural or legal person whatever the form of participation (as an individual legal entity or as leader or member of a consortium submitting a tender).  In the event that a natural or legal person submits more than one tender, all tenders in which that pers</w:t>
      </w:r>
      <w:r>
        <w:rPr>
          <w:sz w:val="22"/>
          <w:szCs w:val="22"/>
          <w:lang w:val="en-GB"/>
        </w:rPr>
        <w:t>on has participated will be excluded.</w:t>
      </w:r>
    </w:p>
    <w:p w:rsidR="00705AE9" w:rsidRDefault="00705AE9">
      <w:pPr>
        <w:pStyle w:val="Blockquote"/>
        <w:jc w:val="both"/>
        <w:rPr>
          <w:sz w:val="22"/>
          <w:szCs w:val="22"/>
          <w:highlight w:val="lightGray"/>
          <w:lang w:val="en-GB"/>
        </w:rPr>
      </w:pPr>
    </w:p>
    <w:p w:rsidR="00705AE9" w:rsidRDefault="002B6924">
      <w:pPr>
        <w:ind w:left="709" w:hanging="349"/>
        <w:outlineLvl w:val="0"/>
        <w:rPr>
          <w:sz w:val="22"/>
          <w:szCs w:val="22"/>
          <w:lang w:val="en-GB"/>
        </w:rPr>
      </w:pPr>
      <w:r>
        <w:rPr>
          <w:rStyle w:val="Strong"/>
          <w:sz w:val="22"/>
          <w:szCs w:val="22"/>
          <w:lang w:val="en-GB"/>
        </w:rPr>
        <w:t xml:space="preserve">12. </w:t>
      </w:r>
      <w:r>
        <w:rPr>
          <w:rStyle w:val="Strong"/>
          <w:sz w:val="22"/>
          <w:szCs w:val="22"/>
          <w:lang w:val="en-GB"/>
        </w:rPr>
        <w:tab/>
        <w:t>Grounds for exclusion</w:t>
      </w:r>
    </w:p>
    <w:p w:rsidR="00705AE9" w:rsidRDefault="002B6924">
      <w:pPr>
        <w:pStyle w:val="Blockquote"/>
        <w:jc w:val="both"/>
        <w:rPr>
          <w:sz w:val="22"/>
          <w:szCs w:val="22"/>
          <w:lang w:val="en-GB"/>
        </w:rPr>
      </w:pPr>
      <w:r>
        <w:rPr>
          <w:sz w:val="22"/>
          <w:szCs w:val="22"/>
          <w:lang w:val="en-GB"/>
        </w:rPr>
        <w:t xml:space="preserve">As part of the tender, tenderers must submit a signed declaration, included in the tender form, to the effect that they are not in any of the exclusion situations listed in Section 2.6.10.1. of the practical guide. </w:t>
      </w:r>
    </w:p>
    <w:p w:rsidR="00705AE9" w:rsidRDefault="002B6924">
      <w:pPr>
        <w:pStyle w:val="Blockquote"/>
        <w:jc w:val="both"/>
        <w:rPr>
          <w:sz w:val="22"/>
          <w:szCs w:val="22"/>
          <w:lang w:val="en-GB"/>
        </w:rPr>
      </w:pPr>
      <w:r>
        <w:rPr>
          <w:sz w:val="22"/>
          <w:szCs w:val="22"/>
          <w:lang w:val="en-GB"/>
        </w:rPr>
        <w:t>Tenderer included in the lists of EU res</w:t>
      </w:r>
      <w:r>
        <w:rPr>
          <w:sz w:val="22"/>
          <w:szCs w:val="22"/>
          <w:lang w:val="en-GB"/>
        </w:rPr>
        <w:t xml:space="preserve">trictive measures (see Section 2.4. of the PRAG) at the moment of the award decision cannot be awarded the contract. </w:t>
      </w:r>
    </w:p>
    <w:p w:rsidR="00705AE9" w:rsidRDefault="002B6924">
      <w:pPr>
        <w:ind w:left="709" w:hanging="349"/>
        <w:outlineLvl w:val="0"/>
        <w:rPr>
          <w:sz w:val="22"/>
          <w:szCs w:val="22"/>
          <w:lang w:val="en-GB"/>
        </w:rPr>
      </w:pPr>
      <w:r>
        <w:rPr>
          <w:rStyle w:val="Strong"/>
          <w:sz w:val="22"/>
          <w:szCs w:val="22"/>
          <w:lang w:val="en-GB"/>
        </w:rPr>
        <w:t xml:space="preserve">13. </w:t>
      </w:r>
      <w:r>
        <w:rPr>
          <w:rStyle w:val="Strong"/>
          <w:sz w:val="22"/>
          <w:szCs w:val="22"/>
          <w:lang w:val="en-GB"/>
        </w:rPr>
        <w:tab/>
        <w:t>Sub-contracting</w:t>
      </w:r>
    </w:p>
    <w:p w:rsidR="00705AE9" w:rsidRDefault="002B6924">
      <w:pPr>
        <w:ind w:left="709" w:hanging="349"/>
        <w:outlineLvl w:val="0"/>
        <w:rPr>
          <w:rStyle w:val="Emphasis"/>
          <w:i w:val="0"/>
          <w:sz w:val="22"/>
          <w:szCs w:val="22"/>
          <w:lang w:val="en-GB"/>
        </w:rPr>
      </w:pPr>
      <w:r>
        <w:rPr>
          <w:rStyle w:val="Emphasis"/>
          <w:i w:val="0"/>
          <w:sz w:val="22"/>
          <w:szCs w:val="22"/>
          <w:lang w:val="en-GB"/>
        </w:rPr>
        <w:t>Subcontracting is allowed.</w:t>
      </w:r>
    </w:p>
    <w:p w:rsidR="00705AE9" w:rsidRDefault="00705AE9">
      <w:pPr>
        <w:keepNext/>
        <w:jc w:val="center"/>
        <w:rPr>
          <w:sz w:val="28"/>
          <w:szCs w:val="28"/>
          <w:lang w:val="en-GB"/>
        </w:rPr>
      </w:pPr>
    </w:p>
    <w:p w:rsidR="00705AE9" w:rsidRDefault="00705AE9">
      <w:pPr>
        <w:jc w:val="center"/>
        <w:rPr>
          <w:sz w:val="28"/>
          <w:szCs w:val="28"/>
          <w:lang w:val="en-GB"/>
        </w:rPr>
      </w:pPr>
    </w:p>
    <w:p w:rsidR="00705AE9" w:rsidRDefault="00705AE9">
      <w:pPr>
        <w:jc w:val="center"/>
        <w:rPr>
          <w:sz w:val="28"/>
          <w:szCs w:val="28"/>
          <w:lang w:val="en-GB"/>
        </w:rPr>
      </w:pPr>
    </w:p>
    <w:p w:rsidR="00705AE9" w:rsidRDefault="00705AE9">
      <w:pPr>
        <w:jc w:val="center"/>
        <w:rPr>
          <w:sz w:val="28"/>
          <w:szCs w:val="28"/>
          <w:lang w:val="en-GB"/>
        </w:rPr>
      </w:pPr>
    </w:p>
    <w:p w:rsidR="00705AE9" w:rsidRDefault="002B6924">
      <w:pPr>
        <w:jc w:val="center"/>
        <w:rPr>
          <w:sz w:val="28"/>
          <w:szCs w:val="28"/>
          <w:lang w:val="en-GB"/>
        </w:rPr>
      </w:pPr>
      <w:r>
        <w:rPr>
          <w:noProof/>
        </w:rPr>
        <mc:AlternateContent>
          <mc:Choice Requires="wps">
            <w:drawing>
              <wp:anchor distT="11430" distB="11430" distL="11430" distR="11430" simplePos="0" relativeHeight="4" behindDoc="0" locked="0" layoutInCell="1" allowOverlap="1" wp14:anchorId="4CEF8B8B">
                <wp:simplePos x="0" y="0"/>
                <wp:positionH relativeFrom="column">
                  <wp:posOffset>19050</wp:posOffset>
                </wp:positionH>
                <wp:positionV relativeFrom="paragraph">
                  <wp:posOffset>26035</wp:posOffset>
                </wp:positionV>
                <wp:extent cx="5943600" cy="635"/>
                <wp:effectExtent l="11430" t="11430" r="11430" b="11430"/>
                <wp:wrapNone/>
                <wp:docPr id="3" name="Shape3"/>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68E5E280" id="Shape3" o:spid="_x0000_s1026" style="position:absolute;z-index:4;visibility:visible;mso-wrap-style:square;mso-wrap-distance-left:.9pt;mso-wrap-distance-top:.9pt;mso-wrap-distance-right:.9pt;mso-wrap-distance-bottom:.9pt;mso-position-horizontal:absolute;mso-position-horizontal-relative:text;mso-position-vertical:absolute;mso-position-vertical-relative:text"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" strokecolor="#d4d4d4" strokeweight=".62mm"/>
            </w:pict>
          </mc:Fallback>
        </mc:AlternateContent>
      </w:r>
      <w:r>
        <w:rPr>
          <w:rStyle w:val="Strong"/>
          <w:sz w:val="28"/>
          <w:szCs w:val="28"/>
          <w:lang w:val="en-GB"/>
        </w:rPr>
        <w:t>PROVISIONAL TIMETABLE</w:t>
      </w:r>
    </w:p>
    <w:p w:rsidR="00705AE9" w:rsidRDefault="00705AE9">
      <w:pPr>
        <w:jc w:val="center"/>
        <w:rPr>
          <w:sz w:val="28"/>
          <w:szCs w:val="28"/>
          <w:lang w:val="en-GB"/>
        </w:rPr>
      </w:pPr>
    </w:p>
    <w:p w:rsidR="00705AE9" w:rsidRDefault="002B6924">
      <w:pPr>
        <w:ind w:left="709" w:hanging="349"/>
        <w:outlineLvl w:val="0"/>
        <w:rPr>
          <w:sz w:val="22"/>
          <w:szCs w:val="22"/>
          <w:lang w:val="en-GB"/>
        </w:rPr>
      </w:pPr>
      <w:r>
        <w:rPr>
          <w:rStyle w:val="Strong"/>
          <w:sz w:val="22"/>
          <w:szCs w:val="22"/>
          <w:lang w:val="en-GB"/>
        </w:rPr>
        <w:t xml:space="preserve">14. </w:t>
      </w:r>
      <w:r>
        <w:rPr>
          <w:rStyle w:val="Strong"/>
          <w:sz w:val="22"/>
          <w:szCs w:val="22"/>
          <w:lang w:val="en-GB"/>
        </w:rPr>
        <w:tab/>
        <w:t>Provisional commencement date of the contract</w:t>
      </w:r>
    </w:p>
    <w:p w:rsidR="00705AE9" w:rsidRDefault="002B6924">
      <w:pPr>
        <w:pStyle w:val="Blockquote"/>
        <w:jc w:val="both"/>
        <w:rPr>
          <w:i/>
          <w:sz w:val="22"/>
          <w:szCs w:val="22"/>
          <w:lang w:val="en-GB"/>
        </w:rPr>
      </w:pPr>
      <w:r>
        <w:rPr>
          <w:rStyle w:val="Emphasis"/>
          <w:i w:val="0"/>
          <w:sz w:val="22"/>
          <w:szCs w:val="22"/>
          <w:shd w:val="clear" w:color="auto" w:fill="FFFFFF"/>
          <w:lang w:val="en-GB"/>
        </w:rPr>
        <w:t>October</w:t>
      </w:r>
      <w:r>
        <w:rPr>
          <w:rStyle w:val="Emphasis"/>
          <w:i w:val="0"/>
          <w:color w:val="000000"/>
          <w:sz w:val="22"/>
          <w:szCs w:val="22"/>
          <w:shd w:val="clear" w:color="auto" w:fill="FFFFFF"/>
          <w:lang w:val="en-GB"/>
        </w:rPr>
        <w:t xml:space="preserve">, </w:t>
      </w:r>
      <w:r>
        <w:rPr>
          <w:rStyle w:val="Emphasis"/>
          <w:i w:val="0"/>
          <w:color w:val="000000"/>
          <w:sz w:val="22"/>
          <w:szCs w:val="22"/>
          <w:shd w:val="clear" w:color="auto" w:fill="FFFFFF"/>
          <w:lang w:val="en-GB"/>
        </w:rPr>
        <w:t>2024</w:t>
      </w:r>
    </w:p>
    <w:p w:rsidR="00705AE9" w:rsidRDefault="00705AE9">
      <w:pPr>
        <w:pStyle w:val="Blockquote"/>
        <w:jc w:val="both"/>
        <w:rPr>
          <w:i/>
          <w:sz w:val="22"/>
          <w:szCs w:val="22"/>
          <w:lang w:val="en-GB"/>
        </w:rPr>
      </w:pPr>
    </w:p>
    <w:p w:rsidR="00705AE9" w:rsidRDefault="002B6924">
      <w:pPr>
        <w:ind w:left="709" w:hanging="349"/>
        <w:outlineLvl w:val="0"/>
        <w:rPr>
          <w:sz w:val="22"/>
          <w:szCs w:val="22"/>
          <w:lang w:val="en-GB"/>
        </w:rPr>
      </w:pPr>
      <w:r>
        <w:rPr>
          <w:rStyle w:val="Strong"/>
          <w:sz w:val="22"/>
          <w:szCs w:val="22"/>
          <w:lang w:val="en-GB"/>
        </w:rPr>
        <w:t xml:space="preserve">15. </w:t>
      </w:r>
      <w:r>
        <w:rPr>
          <w:rStyle w:val="Strong"/>
          <w:sz w:val="22"/>
          <w:szCs w:val="22"/>
          <w:lang w:val="en-GB"/>
        </w:rPr>
        <w:tab/>
        <w:t xml:space="preserve">Implementation period of the tasks </w:t>
      </w:r>
    </w:p>
    <w:p w:rsidR="00705AE9" w:rsidRDefault="002B6924">
      <w:pPr>
        <w:pStyle w:val="Blockquote"/>
        <w:jc w:val="both"/>
        <w:rPr>
          <w:i/>
          <w:sz w:val="22"/>
          <w:szCs w:val="22"/>
          <w:lang w:val="en-GB"/>
        </w:rPr>
      </w:pPr>
      <w:r>
        <w:rPr>
          <w:rStyle w:val="Emphasis"/>
          <w:i w:val="0"/>
          <w:sz w:val="22"/>
          <w:szCs w:val="22"/>
          <w:lang w:val="en-GB"/>
        </w:rPr>
        <w:t>28</w:t>
      </w:r>
      <w:r>
        <w:rPr>
          <w:rStyle w:val="Emphasis"/>
          <w:i w:val="0"/>
          <w:sz w:val="22"/>
          <w:szCs w:val="22"/>
          <w:lang w:val="en-GB"/>
        </w:rPr>
        <w:t xml:space="preserve"> months</w:t>
      </w:r>
    </w:p>
    <w:p w:rsidR="00705AE9" w:rsidRDefault="002B6924">
      <w:pPr>
        <w:rPr>
          <w:sz w:val="22"/>
          <w:szCs w:val="22"/>
          <w:lang w:val="en-GB"/>
        </w:rPr>
      </w:pPr>
      <w:r>
        <w:rPr>
          <w:noProof/>
          <w:sz w:val="22"/>
          <w:szCs w:val="22"/>
          <w:lang w:val="en-GB"/>
        </w:rPr>
        <mc:AlternateContent>
          <mc:Choice Requires="wps">
            <w:drawing>
              <wp:anchor distT="11430" distB="11430" distL="11430" distR="11430" simplePos="0" relativeHeight="5" behindDoc="0" locked="0" layoutInCell="1" allowOverlap="1" wp14:anchorId="6F8EEEE0">
                <wp:simplePos x="0" y="0"/>
                <wp:positionH relativeFrom="column">
                  <wp:posOffset>0</wp:posOffset>
                </wp:positionH>
                <wp:positionV relativeFrom="paragraph">
                  <wp:posOffset>152400</wp:posOffset>
                </wp:positionV>
                <wp:extent cx="5943600" cy="635"/>
                <wp:effectExtent l="11430" t="11430" r="11430" b="11430"/>
                <wp:wrapNone/>
                <wp:docPr id="4" name="Shape4"/>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D9C9B9B" id="Shape4" o:spid="_x0000_s1026" style="position:absolute;z-index:5;visibility:visible;mso-wrap-style:square;mso-wrap-distance-left:.9pt;mso-wrap-distance-top:.9pt;mso-wrap-distance-right:.9pt;mso-wrap-distance-bottom:.9pt;mso-position-horizontal:absolute;mso-position-horizontal-relative:text;mso-position-vertical:absolute;mso-position-vertical-relative:text"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" strokecolor="#d4d4d4" strokeweight=".62mm"/>
            </w:pict>
          </mc:Fallback>
        </mc:AlternateContent>
      </w:r>
    </w:p>
    <w:p w:rsidR="00705AE9" w:rsidRDefault="002B6924">
      <w:pPr>
        <w:jc w:val="center"/>
        <w:rPr>
          <w:sz w:val="28"/>
          <w:szCs w:val="28"/>
          <w:lang w:val="en-GB"/>
        </w:rPr>
      </w:pPr>
      <w:r>
        <w:rPr>
          <w:rStyle w:val="Strong"/>
          <w:sz w:val="28"/>
          <w:szCs w:val="28"/>
          <w:lang w:val="en-GB"/>
        </w:rPr>
        <w:t>SELECTION AND AWARD CRITERIA</w:t>
      </w:r>
    </w:p>
    <w:p w:rsidR="00705AE9" w:rsidRDefault="002B6924">
      <w:pPr>
        <w:ind w:left="709" w:hanging="349"/>
        <w:outlineLvl w:val="0"/>
        <w:rPr>
          <w:rStyle w:val="Strong"/>
          <w:sz w:val="22"/>
          <w:szCs w:val="22"/>
          <w:lang w:val="en-GB"/>
        </w:rPr>
      </w:pPr>
      <w:r>
        <w:rPr>
          <w:rStyle w:val="Strong"/>
          <w:sz w:val="22"/>
          <w:szCs w:val="22"/>
          <w:lang w:val="en-GB"/>
        </w:rPr>
        <w:t xml:space="preserve">16. </w:t>
      </w:r>
      <w:r>
        <w:rPr>
          <w:rStyle w:val="Strong"/>
          <w:sz w:val="22"/>
          <w:szCs w:val="22"/>
          <w:lang w:val="en-GB"/>
        </w:rPr>
        <w:tab/>
        <w:t>Selection criteria</w:t>
      </w:r>
    </w:p>
    <w:p w:rsidR="00705AE9" w:rsidRDefault="002B6924">
      <w:pPr>
        <w:widowControl/>
        <w:spacing w:before="240" w:after="0"/>
        <w:ind w:left="426"/>
        <w:jc w:val="both"/>
        <w:rPr>
          <w:sz w:val="22"/>
          <w:szCs w:val="22"/>
          <w:lang w:val="en-GB"/>
        </w:rPr>
      </w:pPr>
      <w:r>
        <w:rPr>
          <w:sz w:val="22"/>
          <w:szCs w:val="22"/>
          <w:lang w:val="en-GB"/>
        </w:rPr>
        <w:t>Capacity-providing entities</w:t>
      </w:r>
    </w:p>
    <w:p w:rsidR="00705AE9" w:rsidRDefault="002B6924">
      <w:pPr>
        <w:widowControl/>
        <w:spacing w:before="240" w:after="0"/>
        <w:ind w:left="426"/>
        <w:jc w:val="both"/>
        <w:rPr>
          <w:sz w:val="22"/>
          <w:szCs w:val="22"/>
          <w:lang w:val="en-GB"/>
        </w:rPr>
      </w:pPr>
      <w:r>
        <w:rPr>
          <w:sz w:val="22"/>
          <w:szCs w:val="22"/>
          <w:lang w:val="en-GB"/>
        </w:rPr>
        <w:t xml:space="preserve">An economic operator (i.e. candidate or tenderer) may, where appropriate and for a particular contract, rely on the </w:t>
      </w:r>
      <w:r>
        <w:rPr>
          <w:sz w:val="22"/>
          <w:szCs w:val="22"/>
          <w:lang w:val="en-GB"/>
        </w:rPr>
        <w:t>capacities of other entities, regardless of the legal nature of the links it has with them. If the economic operator relies on other entities, it must in that case prove to the contracting authority that it will have at its disposal the resources necessary</w:t>
      </w:r>
      <w:r>
        <w:rPr>
          <w:sz w:val="22"/>
          <w:szCs w:val="22"/>
          <w:lang w:val="en-GB"/>
        </w:rPr>
        <w:t xml:space="preserve"> for the performance of the contract by producing a commitment by those entities to place those resources at its disposal. Such entities, for instance the parent company of the economic operator, must respect the same rules of eligibility and notably that </w:t>
      </w:r>
      <w:r>
        <w:rPr>
          <w:sz w:val="22"/>
          <w:szCs w:val="22"/>
          <w:lang w:val="en-GB"/>
        </w:rPr>
        <w:t xml:space="preserve">of nationality as the economic operator relying on them and must comply with the selection criteria for which the economic operator relies on them. </w:t>
      </w:r>
      <w:r>
        <w:rPr>
          <w:b/>
          <w:sz w:val="22"/>
          <w:szCs w:val="22"/>
          <w:lang w:val="en-GB"/>
        </w:rPr>
        <w:t>Furthermore, the data for this third entity for the relevant selection criterion should be included in a sep</w:t>
      </w:r>
      <w:r>
        <w:rPr>
          <w:b/>
          <w:sz w:val="22"/>
          <w:szCs w:val="22"/>
          <w:lang w:val="en-GB"/>
        </w:rPr>
        <w:t>arate document</w:t>
      </w:r>
      <w:r>
        <w:rPr>
          <w:sz w:val="22"/>
          <w:szCs w:val="22"/>
          <w:lang w:val="en-GB"/>
        </w:rPr>
        <w:t>. Proof of the capacity will also have to be provided when requested by the contracting authority.</w:t>
      </w:r>
    </w:p>
    <w:p w:rsidR="00705AE9" w:rsidRDefault="002B6924">
      <w:pPr>
        <w:widowControl/>
        <w:spacing w:before="240" w:after="0"/>
        <w:ind w:left="426"/>
        <w:jc w:val="both"/>
        <w:rPr>
          <w:sz w:val="22"/>
          <w:szCs w:val="22"/>
          <w:lang w:val="en-GB"/>
        </w:rPr>
      </w:pPr>
      <w:r>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705AE9" w:rsidRDefault="002B6924">
      <w:pPr>
        <w:widowControl/>
        <w:spacing w:before="240" w:after="0"/>
        <w:ind w:left="426"/>
        <w:jc w:val="both"/>
        <w:rPr>
          <w:sz w:val="22"/>
          <w:szCs w:val="22"/>
          <w:lang w:val="en-GB"/>
        </w:rPr>
      </w:pPr>
      <w:r>
        <w:rPr>
          <w:sz w:val="22"/>
          <w:szCs w:val="22"/>
          <w:lang w:val="en-GB"/>
        </w:rPr>
        <w:t>With regard to economic and financial criteria, the</w:t>
      </w:r>
      <w:r>
        <w:rPr>
          <w:sz w:val="22"/>
          <w:szCs w:val="22"/>
          <w:lang w:val="en-GB"/>
        </w:rPr>
        <w:t xml:space="preserve"> entities upon whose capacity the economic operator relies, become jointly and severally liable for the performance of the contract.</w:t>
      </w:r>
    </w:p>
    <w:p w:rsidR="00705AE9" w:rsidRDefault="002B6924">
      <w:pPr>
        <w:pStyle w:val="Blockquote"/>
        <w:ind w:left="449"/>
        <w:jc w:val="both"/>
      </w:pPr>
      <w:r>
        <w:rPr>
          <w:sz w:val="22"/>
          <w:szCs w:val="22"/>
          <w:lang w:val="en-GB"/>
        </w:rPr>
        <w:t xml:space="preserve">The following selection criteria will be applied to the tenderers. In the case of tenders submitted by a consortium, these </w:t>
      </w:r>
      <w:r>
        <w:rPr>
          <w:sz w:val="22"/>
          <w:szCs w:val="22"/>
          <w:lang w:val="en-GB"/>
        </w:rPr>
        <w:t>selection criteria will be applied to the consortium as a whole if not specified otherwise. The selection criteria will not be applied to natural persons and single-member companies when they are sub-contractors.</w:t>
      </w:r>
    </w:p>
    <w:p w:rsidR="00705AE9" w:rsidRDefault="002B6924">
      <w:pPr>
        <w:pStyle w:val="Blockquote"/>
        <w:ind w:left="449"/>
        <w:jc w:val="both"/>
      </w:pPr>
      <w:r>
        <w:rPr>
          <w:sz w:val="22"/>
          <w:szCs w:val="22"/>
          <w:lang w:val="en-GB"/>
        </w:rPr>
        <w:t>The tenderer</w:t>
      </w:r>
      <w:r>
        <w:rPr>
          <w:sz w:val="22"/>
          <w:szCs w:val="22"/>
          <w:lang w:val="en-IE"/>
        </w:rPr>
        <w:t xml:space="preserve"> </w:t>
      </w:r>
      <w:r>
        <w:rPr>
          <w:sz w:val="22"/>
          <w:szCs w:val="22"/>
          <w:lang w:val="en-GB"/>
        </w:rPr>
        <w:t>shall not use previous experie</w:t>
      </w:r>
      <w:r>
        <w:rPr>
          <w:sz w:val="22"/>
          <w:szCs w:val="22"/>
          <w:lang w:val="en-GB"/>
        </w:rPr>
        <w:t>nce which caused breach of contract and termination by a contracting authority as a reference for selection criteria.</w:t>
      </w:r>
    </w:p>
    <w:p w:rsidR="00705AE9" w:rsidRDefault="002B6924">
      <w:pPr>
        <w:ind w:firstLine="414"/>
      </w:pPr>
      <w:r>
        <w:rPr>
          <w:sz w:val="22"/>
          <w:szCs w:val="22"/>
        </w:rPr>
        <w:t>The selection criteria for each tenderer are as follows:</w:t>
      </w:r>
    </w:p>
    <w:p w:rsidR="00705AE9" w:rsidRDefault="002B6924">
      <w:pPr>
        <w:pStyle w:val="Blockquote"/>
        <w:ind w:left="641" w:right="357" w:hanging="284"/>
        <w:jc w:val="both"/>
        <w:rPr>
          <w:sz w:val="22"/>
          <w:szCs w:val="22"/>
          <w:lang w:val="en-GB"/>
        </w:rPr>
      </w:pPr>
      <w:r>
        <w:rPr>
          <w:b/>
          <w:sz w:val="22"/>
          <w:szCs w:val="22"/>
          <w:u w:val="single"/>
          <w:lang w:val="en-GB"/>
        </w:rPr>
        <w:t>1)</w:t>
      </w:r>
      <w:r>
        <w:rPr>
          <w:b/>
          <w:sz w:val="22"/>
          <w:szCs w:val="22"/>
          <w:u w:val="single"/>
          <w:lang w:val="en-GB"/>
        </w:rPr>
        <w:tab/>
        <w:t>Economic and financial capacity of the tenderer</w:t>
      </w:r>
      <w:r>
        <w:rPr>
          <w:b/>
          <w:sz w:val="22"/>
          <w:szCs w:val="22"/>
          <w:lang w:val="en-GB"/>
        </w:rPr>
        <w:t xml:space="preserve"> (</w:t>
      </w:r>
      <w:r>
        <w:rPr>
          <w:sz w:val="22"/>
          <w:szCs w:val="22"/>
          <w:lang w:val="en-GB"/>
        </w:rPr>
        <w:t>based on item 3 of the tender</w:t>
      </w:r>
      <w:r>
        <w:rPr>
          <w:sz w:val="22"/>
          <w:szCs w:val="22"/>
          <w:lang w:val="en-GB"/>
        </w:rPr>
        <w:t xml:space="preserve"> form). In case of tenderer being a public body, equivalent information should be provided. </w:t>
      </w:r>
    </w:p>
    <w:p w:rsidR="00705AE9" w:rsidRDefault="002B6924">
      <w:pPr>
        <w:pStyle w:val="Blockquote"/>
        <w:ind w:left="641" w:right="357" w:hanging="284"/>
        <w:jc w:val="both"/>
        <w:rPr>
          <w:sz w:val="22"/>
          <w:szCs w:val="22"/>
          <w:lang w:val="en-GB"/>
        </w:rPr>
      </w:pPr>
      <w:r>
        <w:rPr>
          <w:sz w:val="22"/>
          <w:szCs w:val="22"/>
          <w:lang w:val="en-GB"/>
        </w:rPr>
        <w:t xml:space="preserve">a) the financial situation of the tenderer should not be in deficit, </w:t>
      </w:r>
      <w:proofErr w:type="gramStart"/>
      <w:r>
        <w:rPr>
          <w:sz w:val="22"/>
          <w:szCs w:val="22"/>
          <w:lang w:val="en-GB"/>
        </w:rPr>
        <w:t>taken into account</w:t>
      </w:r>
      <w:proofErr w:type="gramEnd"/>
      <w:r>
        <w:rPr>
          <w:sz w:val="22"/>
          <w:szCs w:val="22"/>
          <w:lang w:val="en-GB"/>
        </w:rPr>
        <w:t xml:space="preserve"> debts, at the beginning and end of the year</w:t>
      </w:r>
    </w:p>
    <w:p w:rsidR="00705AE9" w:rsidRDefault="002B6924">
      <w:pPr>
        <w:pStyle w:val="Blockquote"/>
        <w:ind w:left="641" w:right="357" w:hanging="284"/>
        <w:jc w:val="both"/>
      </w:pPr>
      <w:r>
        <w:rPr>
          <w:b/>
          <w:bCs/>
          <w:color w:val="000000"/>
          <w:sz w:val="22"/>
          <w:szCs w:val="22"/>
          <w:u w:val="single"/>
          <w:lang w:val="en-GB"/>
        </w:rPr>
        <w:t>2)</w:t>
      </w:r>
      <w:r>
        <w:rPr>
          <w:b/>
          <w:bCs/>
          <w:color w:val="000000"/>
          <w:sz w:val="22"/>
          <w:szCs w:val="22"/>
          <w:u w:val="single"/>
          <w:lang w:val="en-GB"/>
        </w:rPr>
        <w:tab/>
        <w:t>Professional capacity of the</w:t>
      </w:r>
      <w:r>
        <w:rPr>
          <w:b/>
          <w:bCs/>
          <w:color w:val="000000"/>
          <w:sz w:val="22"/>
          <w:szCs w:val="22"/>
          <w:u w:val="single"/>
          <w:lang w:val="en-GB"/>
        </w:rPr>
        <w:t xml:space="preserve"> tenderer </w:t>
      </w:r>
      <w:r>
        <w:rPr>
          <w:color w:val="000000"/>
          <w:sz w:val="22"/>
          <w:szCs w:val="22"/>
          <w:lang w:val="en-GB"/>
        </w:rPr>
        <w:t>(based on items 4 of the tender form).</w:t>
      </w:r>
    </w:p>
    <w:p w:rsidR="00705AE9" w:rsidRDefault="002B6924">
      <w:pPr>
        <w:tabs>
          <w:tab w:val="left" w:pos="567"/>
          <w:tab w:val="left" w:pos="643"/>
        </w:tabs>
        <w:spacing w:before="60" w:after="60"/>
        <w:jc w:val="both"/>
        <w:rPr>
          <w:color w:val="000000"/>
          <w:sz w:val="22"/>
          <w:szCs w:val="22"/>
        </w:rPr>
      </w:pPr>
      <w:r>
        <w:rPr>
          <w:color w:val="000000"/>
          <w:sz w:val="22"/>
          <w:szCs w:val="22"/>
        </w:rPr>
        <w:t xml:space="preserve">      a.) The tenderer has minimum 5 years of general professional experience in Civil Engineering </w:t>
      </w:r>
    </w:p>
    <w:p w:rsidR="00705AE9" w:rsidRDefault="002B6924">
      <w:pPr>
        <w:tabs>
          <w:tab w:val="left" w:pos="567"/>
          <w:tab w:val="left" w:pos="643"/>
        </w:tabs>
        <w:spacing w:before="60" w:after="60"/>
        <w:ind w:left="360"/>
        <w:jc w:val="both"/>
        <w:rPr>
          <w:color w:val="000000"/>
          <w:sz w:val="22"/>
          <w:szCs w:val="22"/>
        </w:rPr>
      </w:pPr>
      <w:r>
        <w:rPr>
          <w:color w:val="000000"/>
          <w:sz w:val="22"/>
          <w:szCs w:val="22"/>
        </w:rPr>
        <w:lastRenderedPageBreak/>
        <w:t xml:space="preserve">b.) The tenderer shall have a professional </w:t>
      </w:r>
      <w:proofErr w:type="spellStart"/>
      <w:r>
        <w:rPr>
          <w:color w:val="000000"/>
          <w:sz w:val="22"/>
          <w:szCs w:val="22"/>
        </w:rPr>
        <w:t>licence</w:t>
      </w:r>
      <w:proofErr w:type="spellEnd"/>
      <w:r>
        <w:rPr>
          <w:color w:val="000000"/>
          <w:sz w:val="22"/>
          <w:szCs w:val="22"/>
        </w:rPr>
        <w:t xml:space="preserve">, certificate (or right), in accordance with the laws of </w:t>
      </w:r>
      <w:r>
        <w:rPr>
          <w:color w:val="000000"/>
          <w:sz w:val="22"/>
          <w:szCs w:val="22"/>
        </w:rPr>
        <w:t xml:space="preserve">the country in which he is established, or equivalent, for the design/ execution of civil engineering works of first category </w:t>
      </w:r>
      <w:proofErr w:type="gramStart"/>
      <w:r>
        <w:rPr>
          <w:color w:val="000000"/>
          <w:sz w:val="22"/>
          <w:szCs w:val="22"/>
        </w:rPr>
        <w:t>facilities  (</w:t>
      </w:r>
      <w:proofErr w:type="gramEnd"/>
      <w:r>
        <w:rPr>
          <w:color w:val="000000"/>
          <w:sz w:val="22"/>
          <w:szCs w:val="22"/>
        </w:rPr>
        <w:t xml:space="preserve">Professional license for designing/ execution of civil engineering works issued by the Chamber of licensed engineers </w:t>
      </w:r>
      <w:r>
        <w:rPr>
          <w:color w:val="000000"/>
          <w:sz w:val="22"/>
          <w:szCs w:val="22"/>
        </w:rPr>
        <w:t xml:space="preserve">and architects) </w:t>
      </w:r>
    </w:p>
    <w:p w:rsidR="00705AE9" w:rsidRDefault="002B6924">
      <w:pPr>
        <w:ind w:left="360"/>
      </w:pPr>
      <w:r>
        <w:rPr>
          <w:b/>
          <w:bCs/>
          <w:color w:val="000000"/>
          <w:u w:val="single"/>
          <w:lang w:val="en-GB"/>
        </w:rPr>
        <w:t>3)</w:t>
      </w:r>
      <w:r>
        <w:rPr>
          <w:b/>
          <w:bCs/>
          <w:color w:val="000000"/>
          <w:u w:val="single"/>
          <w:lang w:val="en-GB"/>
        </w:rPr>
        <w:tab/>
      </w:r>
      <w:r>
        <w:rPr>
          <w:b/>
          <w:bCs/>
          <w:color w:val="000000"/>
          <w:sz w:val="22"/>
          <w:szCs w:val="22"/>
          <w:u w:val="single"/>
        </w:rPr>
        <w:t>Technical capacity of tenderer</w:t>
      </w:r>
      <w:r>
        <w:rPr>
          <w:color w:val="000000"/>
          <w:sz w:val="22"/>
          <w:szCs w:val="22"/>
        </w:rPr>
        <w:t xml:space="preserve"> (based on items 5 and 6 of the tender form). </w:t>
      </w:r>
    </w:p>
    <w:p w:rsidR="00705AE9" w:rsidRDefault="002B6924">
      <w:pPr>
        <w:ind w:left="360"/>
      </w:pPr>
      <w:r>
        <w:rPr>
          <w:color w:val="000000"/>
          <w:sz w:val="22"/>
          <w:szCs w:val="22"/>
        </w:rPr>
        <w:t xml:space="preserve">a.) the tenderer has been involved as an civil engineering in the implementation of at least 1 (one) project in the last ten years implemented </w:t>
      </w:r>
      <w:proofErr w:type="gramStart"/>
      <w:r>
        <w:rPr>
          <w:color w:val="000000"/>
          <w:sz w:val="22"/>
          <w:szCs w:val="22"/>
          <w:lang w:val="en-GB"/>
        </w:rPr>
        <w:t>under  EU</w:t>
      </w:r>
      <w:proofErr w:type="gramEnd"/>
      <w:r>
        <w:rPr>
          <w:color w:val="000000"/>
          <w:sz w:val="22"/>
          <w:szCs w:val="22"/>
          <w:lang w:val="en-GB"/>
        </w:rPr>
        <w:t xml:space="preserve"> funds </w:t>
      </w:r>
      <w:r>
        <w:rPr>
          <w:color w:val="000000"/>
          <w:sz w:val="22"/>
          <w:szCs w:val="22"/>
          <w:lang w:val="en-GB"/>
        </w:rPr>
        <w:t>or other  donors rules</w:t>
      </w:r>
    </w:p>
    <w:p w:rsidR="00705AE9" w:rsidRDefault="002B6924">
      <w:pPr>
        <w:tabs>
          <w:tab w:val="left" w:pos="284"/>
        </w:tabs>
        <w:ind w:left="360"/>
        <w:jc w:val="both"/>
        <w:rPr>
          <w:sz w:val="22"/>
          <w:szCs w:val="22"/>
          <w:lang w:val="en-GB"/>
        </w:rPr>
      </w:pPr>
      <w:r>
        <w:rPr>
          <w:sz w:val="22"/>
          <w:szCs w:val="22"/>
        </w:rPr>
        <w:t xml:space="preserve">This means that the service </w:t>
      </w:r>
      <w:proofErr w:type="gramStart"/>
      <w:r>
        <w:rPr>
          <w:sz w:val="22"/>
          <w:szCs w:val="22"/>
        </w:rPr>
        <w:t>contract</w:t>
      </w:r>
      <w:proofErr w:type="gramEnd"/>
      <w:r>
        <w:rPr>
          <w:sz w:val="22"/>
          <w:szCs w:val="22"/>
        </w:rPr>
        <w:t xml:space="preserve"> the tenderer refers to could have been started at any time during the indicated period but it does not necessarily have to be completed during that period, nor implemented during the entire period</w:t>
      </w:r>
      <w:r>
        <w:rPr>
          <w:sz w:val="22"/>
          <w:szCs w:val="22"/>
        </w:rPr>
        <w:t>. Tenderers are allowed to refer either to service contracts completed within the reference period (although started earlier) or to service contracts not yet completed. Only the portion satisfactorily completed during the reference period will be taken int</w:t>
      </w:r>
      <w:r>
        <w:rPr>
          <w:sz w:val="22"/>
          <w:szCs w:val="22"/>
        </w:rPr>
        <w:t>o consideration. This portion will have to be supported by documentary evidence (-statement or certificate from the entity which awarded the contract, proof of payment) also detailing its value. If a tenderer has implemented the service contract in a conso</w:t>
      </w:r>
      <w:r>
        <w:rPr>
          <w:sz w:val="22"/>
          <w:szCs w:val="22"/>
        </w:rPr>
        <w:t>rtium, the percentage that the tenderer has successfully completed must be clear from the documentary evidence, together with a description of the nature of the services provided if the selection criteria relating to the pertinence of the experience have b</w:t>
      </w:r>
      <w:r>
        <w:rPr>
          <w:sz w:val="22"/>
          <w:szCs w:val="22"/>
        </w:rPr>
        <w:t>een used.</w:t>
      </w:r>
    </w:p>
    <w:p w:rsidR="00705AE9" w:rsidRDefault="002B6924">
      <w:pPr>
        <w:pStyle w:val="Blockquote"/>
        <w:jc w:val="both"/>
        <w:rPr>
          <w:sz w:val="22"/>
          <w:szCs w:val="22"/>
          <w:lang w:val="en-GB"/>
        </w:rPr>
      </w:pPr>
      <w:r>
        <w:rPr>
          <w:sz w:val="22"/>
          <w:szCs w:val="22"/>
          <w:lang w:val="en-GB"/>
        </w:rPr>
        <w:t>Previous experience which would have led to breach of contract and termination by a contracting authority shall not be used as reference. This is also applicable concerning the previous experience of experts required under a fee-based service con</w:t>
      </w:r>
      <w:r>
        <w:rPr>
          <w:sz w:val="22"/>
          <w:szCs w:val="22"/>
          <w:lang w:val="en-GB"/>
        </w:rPr>
        <w:t>tract.</w:t>
      </w:r>
    </w:p>
    <w:p w:rsidR="00705AE9" w:rsidRDefault="00705AE9">
      <w:pPr>
        <w:pStyle w:val="Blockquote"/>
        <w:jc w:val="both"/>
        <w:rPr>
          <w:sz w:val="22"/>
          <w:szCs w:val="22"/>
          <w:lang w:val="en-GB"/>
        </w:rPr>
      </w:pPr>
    </w:p>
    <w:p w:rsidR="00705AE9" w:rsidRDefault="002B6924">
      <w:pPr>
        <w:ind w:left="709" w:hanging="349"/>
        <w:outlineLvl w:val="0"/>
        <w:rPr>
          <w:sz w:val="22"/>
          <w:szCs w:val="22"/>
          <w:lang w:val="en-GB"/>
        </w:rPr>
      </w:pPr>
      <w:r>
        <w:rPr>
          <w:rStyle w:val="Strong"/>
          <w:sz w:val="22"/>
          <w:szCs w:val="22"/>
          <w:lang w:val="en-GB"/>
        </w:rPr>
        <w:t xml:space="preserve">17. </w:t>
      </w:r>
      <w:r>
        <w:rPr>
          <w:rStyle w:val="Strong"/>
          <w:sz w:val="22"/>
          <w:szCs w:val="22"/>
          <w:lang w:val="en-GB"/>
        </w:rPr>
        <w:tab/>
        <w:t>Award criteria</w:t>
      </w:r>
    </w:p>
    <w:p w:rsidR="00705AE9" w:rsidRDefault="002B6924">
      <w:pPr>
        <w:pStyle w:val="Blockquote"/>
        <w:ind w:right="1"/>
        <w:jc w:val="both"/>
        <w:rPr>
          <w:sz w:val="22"/>
          <w:szCs w:val="22"/>
          <w:lang w:val="en-GB"/>
        </w:rPr>
      </w:pPr>
      <w:r>
        <w:rPr>
          <w:sz w:val="22"/>
          <w:szCs w:val="22"/>
          <w:lang w:val="en-GB"/>
        </w:rPr>
        <w:t xml:space="preserve">Best </w:t>
      </w:r>
      <w:r>
        <w:rPr>
          <w:lang w:val="en-GB"/>
        </w:rPr>
        <w:t>price-quality ratio.</w:t>
      </w:r>
    </w:p>
    <w:p w:rsidR="00705AE9" w:rsidRDefault="002B6924">
      <w:pPr>
        <w:pStyle w:val="Blockquote"/>
        <w:jc w:val="both"/>
        <w:rPr>
          <w:sz w:val="22"/>
          <w:szCs w:val="22"/>
          <w:lang w:val="en-GB"/>
        </w:rPr>
      </w:pPr>
      <w:r>
        <w:rPr>
          <w:sz w:val="22"/>
          <w:szCs w:val="22"/>
          <w:lang w:val="en-GB"/>
        </w:rPr>
        <w:t>.</w:t>
      </w:r>
    </w:p>
    <w:p w:rsidR="00705AE9" w:rsidRDefault="002B6924">
      <w:pPr>
        <w:rPr>
          <w:sz w:val="22"/>
          <w:szCs w:val="22"/>
          <w:lang w:val="en-GB"/>
        </w:rPr>
      </w:pPr>
      <w:r>
        <w:rPr>
          <w:noProof/>
          <w:sz w:val="22"/>
          <w:szCs w:val="22"/>
          <w:lang w:val="en-GB"/>
        </w:rPr>
        <mc:AlternateContent>
          <mc:Choice Requires="wps">
            <w:drawing>
              <wp:anchor distT="11430" distB="11430" distL="11430" distR="11430" simplePos="0" relativeHeight="6" behindDoc="0" locked="0" layoutInCell="1" allowOverlap="1" wp14:anchorId="0EF37F06">
                <wp:simplePos x="0" y="0"/>
                <wp:positionH relativeFrom="column">
                  <wp:posOffset>0</wp:posOffset>
                </wp:positionH>
                <wp:positionV relativeFrom="paragraph">
                  <wp:posOffset>152400</wp:posOffset>
                </wp:positionV>
                <wp:extent cx="5943600" cy="635"/>
                <wp:effectExtent l="11430" t="11430" r="11430" b="11430"/>
                <wp:wrapNone/>
                <wp:docPr id="5" name="Shape5"/>
                <wp:cNvGraphicFramePr/>
                <a:graphic xmlns:a="http://schemas.openxmlformats.org/drawingml/2006/main">
                  <a:graphicData uri="http://schemas.microsoft.com/office/word/2010/wordprocessingShape">
                    <wps:wsp>
                      <wps:cNvCnPr/>
                      <wps:spPr>
                        <a:xfrm>
                          <a:off x="0" y="0"/>
                          <a:ext cx="5943600" cy="720"/>
                        </a:xfrm>
                        <a:prstGeom prst="line">
                          <a:avLst/>
                        </a:prstGeom>
                        <a:ln w="22320">
                          <a:solidFill>
                            <a:srgbClr val="D4D4D4"/>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E942F3E" id="Shape5" o:spid="_x0000_s1026" style="position:absolute;z-index:6;visibility:visible;mso-wrap-style:square;mso-wrap-distance-left:.9pt;mso-wrap-distance-top:.9pt;mso-wrap-distance-right:.9pt;mso-wrap-distance-bottom:.9pt;mso-position-horizontal:absolute;mso-position-horizontal-relative:text;mso-position-vertical:absolute;mso-position-vertical-relative:text"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" strokecolor="#d4d4d4" strokeweight=".62mm"/>
            </w:pict>
          </mc:Fallback>
        </mc:AlternateContent>
      </w:r>
    </w:p>
    <w:p w:rsidR="00705AE9" w:rsidRDefault="002B6924">
      <w:pPr>
        <w:keepNext/>
        <w:jc w:val="center"/>
        <w:rPr>
          <w:sz w:val="28"/>
          <w:szCs w:val="28"/>
          <w:lang w:val="en-GB"/>
        </w:rPr>
      </w:pPr>
      <w:r>
        <w:rPr>
          <w:rStyle w:val="Strong"/>
          <w:sz w:val="28"/>
          <w:szCs w:val="28"/>
          <w:lang w:val="en-GB"/>
        </w:rPr>
        <w:t>TENDERING</w:t>
      </w:r>
    </w:p>
    <w:p w:rsidR="00705AE9" w:rsidRDefault="002B6924">
      <w:pPr>
        <w:keepNext/>
        <w:ind w:left="709" w:hanging="352"/>
        <w:outlineLvl w:val="0"/>
        <w:rPr>
          <w:sz w:val="22"/>
          <w:szCs w:val="22"/>
          <w:lang w:val="en-GB"/>
        </w:rPr>
      </w:pPr>
      <w:r>
        <w:rPr>
          <w:rStyle w:val="Strong"/>
          <w:sz w:val="22"/>
          <w:szCs w:val="22"/>
          <w:lang w:val="en-GB"/>
        </w:rPr>
        <w:t xml:space="preserve">18. </w:t>
      </w:r>
      <w:r>
        <w:rPr>
          <w:rStyle w:val="Strong"/>
          <w:sz w:val="22"/>
          <w:szCs w:val="22"/>
          <w:lang w:val="en-GB"/>
        </w:rPr>
        <w:tab/>
        <w:t>Deadline for submission of tenders</w:t>
      </w:r>
    </w:p>
    <w:p w:rsidR="00705AE9" w:rsidRDefault="002B6924">
      <w:pPr>
        <w:pStyle w:val="Blockquote"/>
        <w:jc w:val="both"/>
        <w:rPr>
          <w:i/>
          <w:sz w:val="22"/>
          <w:szCs w:val="22"/>
          <w:lang w:val="en-GB"/>
        </w:rPr>
      </w:pPr>
      <w:r>
        <w:rPr>
          <w:rStyle w:val="Emphasis"/>
          <w:i w:val="0"/>
          <w:sz w:val="22"/>
          <w:szCs w:val="22"/>
          <w:lang w:val="en-GB"/>
        </w:rPr>
        <w:t>The deadline for submission of tenders is specified in point 8 of the instruction to tenderers.</w:t>
      </w:r>
      <w:r>
        <w:rPr>
          <w:rStyle w:val="Emphasis"/>
          <w:i w:val="0"/>
          <w:sz w:val="22"/>
          <w:szCs w:val="22"/>
          <w:highlight w:val="yellow"/>
          <w:lang w:val="en-GB"/>
        </w:rPr>
        <w:t xml:space="preserve">    </w:t>
      </w:r>
    </w:p>
    <w:p w:rsidR="00705AE9" w:rsidRDefault="002B6924">
      <w:pPr>
        <w:ind w:left="709" w:hanging="349"/>
        <w:outlineLvl w:val="0"/>
        <w:rPr>
          <w:sz w:val="22"/>
          <w:szCs w:val="22"/>
          <w:lang w:val="en-GB"/>
        </w:rPr>
      </w:pPr>
      <w:r>
        <w:rPr>
          <w:rStyle w:val="Strong"/>
          <w:sz w:val="22"/>
          <w:szCs w:val="22"/>
          <w:lang w:val="en-GB"/>
        </w:rPr>
        <w:t xml:space="preserve">19. </w:t>
      </w:r>
      <w:r>
        <w:rPr>
          <w:rStyle w:val="Strong"/>
          <w:sz w:val="22"/>
          <w:szCs w:val="22"/>
          <w:lang w:val="en-GB"/>
        </w:rPr>
        <w:tab/>
        <w:t>Tender format and details to be provided</w:t>
      </w:r>
    </w:p>
    <w:p w:rsidR="00705AE9" w:rsidRDefault="002B6924">
      <w:pPr>
        <w:pStyle w:val="Blockquote"/>
        <w:jc w:val="both"/>
        <w:rPr>
          <w:sz w:val="22"/>
          <w:szCs w:val="22"/>
          <w:lang w:val="en-GB"/>
        </w:rPr>
      </w:pPr>
      <w:r>
        <w:rPr>
          <w:rStyle w:val="Strong"/>
          <w:b w:val="0"/>
          <w:sz w:val="22"/>
          <w:szCs w:val="22"/>
          <w:lang w:val="en-GB"/>
        </w:rPr>
        <w:t>Tenders must be submitted using the standard tender form</w:t>
      </w:r>
      <w:r>
        <w:rPr>
          <w:sz w:val="22"/>
          <w:szCs w:val="22"/>
          <w:lang w:val="en-GB"/>
        </w:rPr>
        <w:t xml:space="preserve"> for simplified procedures, the format and instructions of which must be strictly observed. The tender form is available from the following internet address: </w:t>
      </w:r>
      <w:hyperlink r:id="rId8" w:anchor="Annexes-AnnexesB(Ch.3):Servicecontracts" w:history="1">
        <w:r>
          <w:rPr>
            <w:rStyle w:val="Hyperlink"/>
            <w:sz w:val="22"/>
            <w:szCs w:val="22"/>
            <w:lang w:val="en-GB"/>
          </w:rPr>
          <w:t>https://wikis.ec.europa.eu/display/ExactExternalWiki/Annexes#Annexes-AnnexesB(Ch.3):Servicecontracts</w:t>
        </w:r>
      </w:hyperlink>
      <w:r>
        <w:rPr>
          <w:sz w:val="22"/>
          <w:szCs w:val="22"/>
          <w:lang w:val="en-GB"/>
        </w:rPr>
        <w:t xml:space="preserve">, under the zip file called Simplified Tender dossier. </w:t>
      </w:r>
    </w:p>
    <w:p w:rsidR="00705AE9" w:rsidRDefault="002B6924">
      <w:pPr>
        <w:pStyle w:val="Blockquote"/>
        <w:jc w:val="both"/>
        <w:rPr>
          <w:sz w:val="22"/>
          <w:szCs w:val="22"/>
          <w:lang w:val="en-GB"/>
        </w:rPr>
      </w:pPr>
      <w:r>
        <w:rPr>
          <w:sz w:val="22"/>
          <w:szCs w:val="22"/>
          <w:lang w:val="en-GB"/>
        </w:rPr>
        <w:t>The tender must be ac</w:t>
      </w:r>
      <w:r>
        <w:rPr>
          <w:sz w:val="22"/>
          <w:szCs w:val="22"/>
          <w:lang w:val="en-GB"/>
        </w:rPr>
        <w:t>companied by a declaration on honour on exclusion and selection criteria using the template available from the following Internet address:</w:t>
      </w:r>
    </w:p>
    <w:p w:rsidR="00705AE9" w:rsidRDefault="002B6924">
      <w:pPr>
        <w:pStyle w:val="Blockquote"/>
        <w:jc w:val="both"/>
        <w:rPr>
          <w:sz w:val="22"/>
          <w:szCs w:val="22"/>
          <w:lang w:val="en-GB"/>
        </w:rPr>
      </w:pPr>
      <w:hyperlink r:id="rId9" w:anchor="Annexes-AnnexesA(Ch.2):General" w:history="1">
        <w:r>
          <w:rPr>
            <w:rStyle w:val="Hyperlink"/>
            <w:sz w:val="22"/>
            <w:szCs w:val="22"/>
          </w:rPr>
          <w:t>https://</w:t>
        </w:r>
        <w:r>
          <w:rPr>
            <w:rStyle w:val="Hyperlink"/>
            <w:sz w:val="22"/>
            <w:szCs w:val="22"/>
          </w:rPr>
          <w:t>wikis.ec.europa.eu/display/ExactExternalWiki/Annexes#Annexes-AnnexesA(Ch.2):General</w:t>
        </w:r>
      </w:hyperlink>
      <w:r>
        <w:rPr>
          <w:sz w:val="22"/>
          <w:szCs w:val="22"/>
        </w:rPr>
        <w:t xml:space="preserve"> </w:t>
      </w:r>
    </w:p>
    <w:p w:rsidR="00705AE9" w:rsidRDefault="002B6924">
      <w:pPr>
        <w:pStyle w:val="Blockquote"/>
        <w:jc w:val="both"/>
        <w:rPr>
          <w:sz w:val="22"/>
          <w:szCs w:val="22"/>
          <w:lang w:val="en-GB"/>
        </w:rPr>
      </w:pPr>
      <w:r>
        <w:rPr>
          <w:sz w:val="22"/>
          <w:szCs w:val="22"/>
          <w:lang w:val="en-GB"/>
        </w:rPr>
        <w:t>Any additional documentation (brochure, letter, etc.) sent with a tender will not be taken into consideration.</w:t>
      </w:r>
    </w:p>
    <w:p w:rsidR="00705AE9" w:rsidRDefault="002B6924">
      <w:pPr>
        <w:ind w:left="709" w:hanging="349"/>
        <w:outlineLvl w:val="0"/>
        <w:rPr>
          <w:sz w:val="22"/>
          <w:szCs w:val="22"/>
          <w:lang w:val="en-GB"/>
        </w:rPr>
      </w:pPr>
      <w:r>
        <w:rPr>
          <w:rStyle w:val="Strong"/>
          <w:sz w:val="22"/>
          <w:szCs w:val="22"/>
          <w:lang w:val="en-GB"/>
        </w:rPr>
        <w:t xml:space="preserve">20. </w:t>
      </w:r>
      <w:r>
        <w:rPr>
          <w:rStyle w:val="Strong"/>
          <w:sz w:val="22"/>
          <w:szCs w:val="22"/>
          <w:lang w:val="en-GB"/>
        </w:rPr>
        <w:tab/>
        <w:t>How tenders may be submitted</w:t>
      </w:r>
    </w:p>
    <w:p w:rsidR="00705AE9" w:rsidRDefault="002B6924">
      <w:pPr>
        <w:pStyle w:val="Blockquote"/>
        <w:jc w:val="both"/>
        <w:rPr>
          <w:sz w:val="22"/>
          <w:szCs w:val="22"/>
          <w:lang w:val="en-GB"/>
        </w:rPr>
      </w:pPr>
      <w:r>
        <w:rPr>
          <w:sz w:val="22"/>
          <w:szCs w:val="22"/>
          <w:lang w:val="en-GB"/>
        </w:rPr>
        <w:t>Tenders must be submitt</w:t>
      </w:r>
      <w:r>
        <w:rPr>
          <w:sz w:val="22"/>
          <w:szCs w:val="22"/>
          <w:lang w:val="en-GB"/>
        </w:rPr>
        <w:t xml:space="preserve">ed in English exclusively to the contracting authority, using the means specified in point 8 of the instructions to tenderers.  </w:t>
      </w:r>
    </w:p>
    <w:p w:rsidR="00705AE9" w:rsidRDefault="002B6924">
      <w:pPr>
        <w:pStyle w:val="Blockquote"/>
        <w:jc w:val="both"/>
        <w:rPr>
          <w:rStyle w:val="Strong"/>
          <w:b w:val="0"/>
          <w:sz w:val="22"/>
          <w:szCs w:val="22"/>
          <w:lang w:val="en-GB"/>
        </w:rPr>
      </w:pPr>
      <w:r>
        <w:rPr>
          <w:rStyle w:val="Strong"/>
          <w:b w:val="0"/>
          <w:sz w:val="22"/>
          <w:szCs w:val="22"/>
          <w:lang w:val="en-GB"/>
        </w:rPr>
        <w:t>Tenders submitted by any other means will not be considered.</w:t>
      </w:r>
    </w:p>
    <w:p w:rsidR="00705AE9" w:rsidRDefault="002B6924">
      <w:pPr>
        <w:pStyle w:val="Blockquote"/>
        <w:jc w:val="both"/>
        <w:rPr>
          <w:rStyle w:val="Strong"/>
          <w:b w:val="0"/>
          <w:sz w:val="22"/>
          <w:szCs w:val="22"/>
          <w:lang w:val="en-GB"/>
        </w:rPr>
      </w:pPr>
      <w:r>
        <w:rPr>
          <w:sz w:val="22"/>
          <w:szCs w:val="22"/>
          <w:lang w:val="en-GB"/>
        </w:rPr>
        <w:lastRenderedPageBreak/>
        <w:t xml:space="preserve">By submitting a </w:t>
      </w:r>
      <w:proofErr w:type="gramStart"/>
      <w:r>
        <w:rPr>
          <w:sz w:val="22"/>
          <w:szCs w:val="22"/>
          <w:lang w:val="en-GB"/>
        </w:rPr>
        <w:t>tender tenderers</w:t>
      </w:r>
      <w:proofErr w:type="gramEnd"/>
      <w:r>
        <w:rPr>
          <w:sz w:val="22"/>
          <w:szCs w:val="22"/>
          <w:lang w:val="en-GB"/>
        </w:rPr>
        <w:t xml:space="preserve"> accept to receive notification of</w:t>
      </w:r>
      <w:r>
        <w:rPr>
          <w:sz w:val="22"/>
          <w:szCs w:val="22"/>
          <w:lang w:val="en-GB"/>
        </w:rPr>
        <w:t xml:space="preserve"> the outcome of the procedure by electronic means.</w:t>
      </w:r>
    </w:p>
    <w:p w:rsidR="00705AE9" w:rsidRDefault="002B6924">
      <w:pPr>
        <w:ind w:left="709" w:hanging="349"/>
        <w:outlineLvl w:val="0"/>
        <w:rPr>
          <w:b/>
          <w:sz w:val="22"/>
          <w:szCs w:val="22"/>
          <w:lang w:val="en-GB"/>
        </w:rPr>
      </w:pPr>
      <w:r>
        <w:rPr>
          <w:rStyle w:val="Strong"/>
          <w:sz w:val="22"/>
          <w:szCs w:val="22"/>
          <w:lang w:val="en-GB"/>
        </w:rPr>
        <w:t>21.</w:t>
      </w:r>
      <w:r>
        <w:rPr>
          <w:rStyle w:val="Strong"/>
          <w:sz w:val="22"/>
          <w:szCs w:val="22"/>
          <w:lang w:val="en-GB"/>
        </w:rPr>
        <w:tab/>
        <w:t>Alteration or withdrawal of tenders</w:t>
      </w:r>
    </w:p>
    <w:p w:rsidR="00705AE9" w:rsidRDefault="002B6924">
      <w:pPr>
        <w:pStyle w:val="Blockquote"/>
        <w:jc w:val="both"/>
        <w:rPr>
          <w:sz w:val="22"/>
          <w:szCs w:val="22"/>
          <w:lang w:val="en-GB"/>
        </w:rPr>
      </w:pPr>
      <w:r>
        <w:rPr>
          <w:sz w:val="22"/>
          <w:szCs w:val="22"/>
          <w:lang w:val="en-GB"/>
        </w:rPr>
        <w:t>Tenderers may alter or withdraw their tenders by written notification prior to the deadline for submission of tenders. No tender may be altered after this deadline.</w:t>
      </w:r>
    </w:p>
    <w:p w:rsidR="00705AE9" w:rsidRDefault="002B6924">
      <w:pPr>
        <w:pStyle w:val="Blockquote"/>
        <w:jc w:val="both"/>
        <w:rPr>
          <w:sz w:val="22"/>
          <w:szCs w:val="22"/>
          <w:lang w:val="en-GB"/>
        </w:rPr>
      </w:pPr>
      <w:r>
        <w:rPr>
          <w:sz w:val="22"/>
          <w:szCs w:val="22"/>
          <w:lang w:val="en-GB"/>
        </w:rPr>
        <w:t xml:space="preserve">Any such notification of alteration or withdrawal shall be prepared and submitted in accordance with point 9 of the instructions to tenderers. </w:t>
      </w:r>
    </w:p>
    <w:p w:rsidR="00705AE9" w:rsidRDefault="002B6924">
      <w:pPr>
        <w:keepNext/>
        <w:ind w:left="709" w:hanging="352"/>
        <w:outlineLvl w:val="0"/>
        <w:rPr>
          <w:sz w:val="22"/>
          <w:szCs w:val="22"/>
          <w:lang w:val="en-GB"/>
        </w:rPr>
      </w:pPr>
      <w:r>
        <w:rPr>
          <w:rStyle w:val="Strong"/>
          <w:sz w:val="22"/>
          <w:szCs w:val="22"/>
          <w:lang w:val="en-GB"/>
        </w:rPr>
        <w:t xml:space="preserve">22. </w:t>
      </w:r>
      <w:r>
        <w:rPr>
          <w:rStyle w:val="Strong"/>
          <w:sz w:val="22"/>
          <w:szCs w:val="22"/>
          <w:lang w:val="en-GB"/>
        </w:rPr>
        <w:tab/>
        <w:t>Operational language</w:t>
      </w:r>
    </w:p>
    <w:p w:rsidR="00705AE9" w:rsidRDefault="002B6924">
      <w:pPr>
        <w:pStyle w:val="Blockquote"/>
        <w:jc w:val="both"/>
        <w:rPr>
          <w:i/>
          <w:sz w:val="22"/>
          <w:szCs w:val="22"/>
          <w:lang w:val="en-GB"/>
        </w:rPr>
      </w:pPr>
      <w:r>
        <w:rPr>
          <w:rStyle w:val="Emphasis"/>
          <w:i w:val="0"/>
          <w:sz w:val="22"/>
          <w:szCs w:val="22"/>
          <w:lang w:val="en-GB"/>
        </w:rPr>
        <w:t xml:space="preserve">All written communications for this tender procedure and contract must be in English. </w:t>
      </w:r>
      <w:r>
        <w:rPr>
          <w:rStyle w:val="Emphasis"/>
          <w:i w:val="0"/>
          <w:sz w:val="22"/>
          <w:szCs w:val="22"/>
          <w:lang w:val="en-GB"/>
        </w:rPr>
        <w:t xml:space="preserve"> </w:t>
      </w:r>
    </w:p>
    <w:p w:rsidR="00705AE9" w:rsidRDefault="002B6924">
      <w:pPr>
        <w:pStyle w:val="Blockquote"/>
        <w:jc w:val="both"/>
        <w:rPr>
          <w:b/>
          <w:sz w:val="22"/>
          <w:szCs w:val="22"/>
          <w:lang w:val="en-GB"/>
        </w:rPr>
      </w:pPr>
      <w:r>
        <w:rPr>
          <w:b/>
          <w:sz w:val="22"/>
          <w:szCs w:val="22"/>
          <w:lang w:val="en-GB"/>
        </w:rPr>
        <w:t>23. Additional information</w:t>
      </w:r>
    </w:p>
    <w:p w:rsidR="00705AE9" w:rsidRPr="006937AD" w:rsidRDefault="002B6924">
      <w:pPr>
        <w:pStyle w:val="Blockquote"/>
        <w:jc w:val="both"/>
        <w:rPr>
          <w:rStyle w:val="Emphasis"/>
          <w:i w:val="0"/>
          <w:sz w:val="22"/>
          <w:szCs w:val="22"/>
          <w:lang w:val="en-GB"/>
        </w:rPr>
      </w:pPr>
      <w:r w:rsidRPr="006937AD">
        <w:rPr>
          <w:rStyle w:val="Emphasis"/>
          <w:i w:val="0"/>
          <w:sz w:val="22"/>
          <w:szCs w:val="22"/>
          <w:lang w:val="en-GB"/>
        </w:rPr>
        <w:t xml:space="preserve">Financial data to be provided by the candidate in the standard application form must be expressed in MK </w:t>
      </w:r>
      <w:proofErr w:type="spellStart"/>
      <w:r w:rsidRPr="006937AD">
        <w:rPr>
          <w:rStyle w:val="Emphasis"/>
          <w:i w:val="0"/>
          <w:sz w:val="22"/>
          <w:szCs w:val="22"/>
          <w:lang w:val="en-GB"/>
        </w:rPr>
        <w:t>Denars</w:t>
      </w:r>
      <w:proofErr w:type="spellEnd"/>
      <w:r w:rsidRPr="006937AD">
        <w:rPr>
          <w:rStyle w:val="Emphasis"/>
          <w:i w:val="0"/>
          <w:sz w:val="22"/>
          <w:szCs w:val="22"/>
          <w:lang w:val="en-GB"/>
        </w:rPr>
        <w:t>. If applicable, where a candidate refers to amounts originally expressed in a different currency, the conversion to MKD shall be made in accordan</w:t>
      </w:r>
      <w:r w:rsidRPr="006937AD">
        <w:rPr>
          <w:rStyle w:val="Emphasis"/>
          <w:i w:val="0"/>
          <w:sz w:val="22"/>
          <w:szCs w:val="22"/>
          <w:lang w:val="en-GB"/>
        </w:rPr>
        <w:t xml:space="preserve">ce with the </w:t>
      </w:r>
      <w:proofErr w:type="spellStart"/>
      <w:r w:rsidRPr="006937AD">
        <w:rPr>
          <w:rStyle w:val="Emphasis"/>
          <w:i w:val="0"/>
          <w:sz w:val="22"/>
          <w:szCs w:val="22"/>
          <w:lang w:val="en-GB"/>
        </w:rPr>
        <w:t>InforEuro</w:t>
      </w:r>
      <w:proofErr w:type="spellEnd"/>
      <w:r w:rsidRPr="006937AD">
        <w:rPr>
          <w:rStyle w:val="Emphasis"/>
          <w:i w:val="0"/>
          <w:sz w:val="22"/>
          <w:szCs w:val="22"/>
          <w:lang w:val="en-GB"/>
        </w:rPr>
        <w:t xml:space="preserve"> exchange rate of which can be found at the following address: https://ec.europa.eu/info/funding-tenders/procedures-guideline</w:t>
      </w:r>
      <w:bookmarkStart w:id="14" w:name="_GoBack"/>
      <w:bookmarkEnd w:id="14"/>
      <w:r w:rsidRPr="006937AD">
        <w:rPr>
          <w:rStyle w:val="Emphasis"/>
          <w:i w:val="0"/>
          <w:sz w:val="22"/>
          <w:szCs w:val="22"/>
          <w:lang w:val="en-GB"/>
        </w:rPr>
        <w:t xml:space="preserve">s-tenders/information-contractors-and-beneficiaries/exchange-rate-inforeuro_en </w:t>
      </w:r>
    </w:p>
    <w:p w:rsidR="00705AE9" w:rsidRDefault="00705AE9">
      <w:pPr>
        <w:widowControl/>
        <w:snapToGrid w:val="0"/>
        <w:spacing w:after="0"/>
        <w:ind w:left="360" w:right="360"/>
        <w:jc w:val="both"/>
        <w:rPr>
          <w:lang w:val="en-GB"/>
        </w:rPr>
      </w:pPr>
    </w:p>
    <w:p w:rsidR="00705AE9" w:rsidRDefault="00705AE9">
      <w:pPr>
        <w:pStyle w:val="Blockquote"/>
        <w:jc w:val="both"/>
        <w:rPr>
          <w:sz w:val="22"/>
          <w:szCs w:val="22"/>
          <w:lang w:val="en-GB"/>
        </w:rPr>
      </w:pPr>
    </w:p>
    <w:sectPr w:rsidR="00705AE9">
      <w:headerReference w:type="even" r:id="rId10"/>
      <w:headerReference w:type="default" r:id="rId11"/>
      <w:footerReference w:type="even" r:id="rId12"/>
      <w:footerReference w:type="default" r:id="rId13"/>
      <w:headerReference w:type="first" r:id="rId14"/>
      <w:footerReference w:type="first" r:id="rId15"/>
      <w:pgSz w:w="12240" w:h="15840"/>
      <w:pgMar w:top="908" w:right="1440" w:bottom="1276" w:left="1418" w:header="851" w:footer="631"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924" w:rsidRDefault="002B6924">
      <w:pPr>
        <w:spacing w:before="0" w:after="0"/>
      </w:pPr>
      <w:r>
        <w:separator/>
      </w:r>
    </w:p>
  </w:endnote>
  <w:endnote w:type="continuationSeparator" w:id="0">
    <w:p w:rsidR="002B6924" w:rsidRDefault="002B69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alibri"/>
    <w:charset w:val="00"/>
    <w:family w:val="roman"/>
    <w:pitch w:val="variable"/>
  </w:font>
  <w:font w:name="Courier">
    <w:panose1 w:val="02070409020205020404"/>
    <w:charset w:val="00"/>
    <w:family w:val="roman"/>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AE9" w:rsidRDefault="00705A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AE9" w:rsidRDefault="002B6924">
    <w:pPr>
      <w:pStyle w:val="Footer"/>
      <w:tabs>
        <w:tab w:val="clear" w:pos="4320"/>
        <w:tab w:val="clear" w:pos="8640"/>
        <w:tab w:val="right" w:pos="9214"/>
      </w:tabs>
      <w:spacing w:before="120" w:after="0"/>
      <w:rPr>
        <w:b/>
        <w:sz w:val="20"/>
        <w:lang w:val="en-GB"/>
      </w:rPr>
    </w:pPr>
    <w:r>
      <w:rPr>
        <w:b/>
        <w:sz w:val="20"/>
      </w:rPr>
      <w:t>2021.1</w:t>
    </w:r>
    <w:r>
      <w:rPr>
        <w:sz w:val="18"/>
        <w:szCs w:val="18"/>
        <w:lang w:val="en-GB"/>
      </w:rPr>
      <w:tab/>
      <w:t xml:space="preserve">Page </w:t>
    </w:r>
    <w:r>
      <w:rPr>
        <w:rStyle w:val="PageNumber"/>
        <w:sz w:val="18"/>
        <w:szCs w:val="18"/>
        <w:lang w:val="en-GB"/>
      </w:rPr>
      <w:fldChar w:fldCharType="begin"/>
    </w:r>
    <w:r>
      <w:rPr>
        <w:rStyle w:val="PageNumber"/>
        <w:sz w:val="18"/>
        <w:szCs w:val="18"/>
        <w:lang w:val="en-GB"/>
      </w:rPr>
      <w:instrText xml:space="preserve"> PAGE </w:instrText>
    </w:r>
    <w:r>
      <w:rPr>
        <w:rStyle w:val="PageNumber"/>
        <w:sz w:val="18"/>
        <w:szCs w:val="18"/>
        <w:lang w:val="en-GB"/>
      </w:rPr>
      <w:fldChar w:fldCharType="separate"/>
    </w:r>
    <w:r>
      <w:rPr>
        <w:rStyle w:val="PageNumber"/>
        <w:sz w:val="18"/>
        <w:szCs w:val="18"/>
        <w:lang w:val="en-GB"/>
      </w:rPr>
      <w:t>5</w:t>
    </w:r>
    <w:r>
      <w:rPr>
        <w:rStyle w:val="PageNumber"/>
        <w:sz w:val="18"/>
        <w:szCs w:val="18"/>
        <w:lang w:val="en-GB"/>
      </w:rPr>
      <w:fldChar w:fldCharType="end"/>
    </w:r>
    <w:r>
      <w:rPr>
        <w:rStyle w:val="PageNumber"/>
        <w:sz w:val="18"/>
        <w:szCs w:val="18"/>
        <w:lang w:val="en-GB"/>
      </w:rPr>
      <w:t xml:space="preserve"> of </w:t>
    </w:r>
    <w:r>
      <w:rPr>
        <w:rStyle w:val="PageNumber"/>
        <w:sz w:val="18"/>
        <w:szCs w:val="18"/>
        <w:lang w:val="en-GB"/>
      </w:rPr>
      <w:fldChar w:fldCharType="begin"/>
    </w:r>
    <w:r>
      <w:rPr>
        <w:rStyle w:val="PageNumber"/>
        <w:sz w:val="18"/>
        <w:szCs w:val="18"/>
        <w:lang w:val="en-GB"/>
      </w:rPr>
      <w:instrText xml:space="preserve"> NUMPAGES </w:instrText>
    </w:r>
    <w:r>
      <w:rPr>
        <w:rStyle w:val="PageNumber"/>
        <w:sz w:val="18"/>
        <w:szCs w:val="18"/>
        <w:lang w:val="en-GB"/>
      </w:rPr>
      <w:fldChar w:fldCharType="separate"/>
    </w:r>
    <w:r>
      <w:rPr>
        <w:rStyle w:val="PageNumber"/>
        <w:sz w:val="18"/>
        <w:szCs w:val="18"/>
        <w:lang w:val="en-GB"/>
      </w:rPr>
      <w:t>5</w:t>
    </w:r>
    <w:r>
      <w:rPr>
        <w:rStyle w:val="PageNumber"/>
        <w:sz w:val="18"/>
        <w:szCs w:val="18"/>
        <w:lang w:val="en-GB"/>
      </w:rPr>
      <w:fldChar w:fldCharType="end"/>
    </w:r>
  </w:p>
  <w:p w:rsidR="00705AE9" w:rsidRDefault="002B6924">
    <w:pPr>
      <w:pStyle w:val="Footer"/>
      <w:spacing w:before="0" w:after="0"/>
      <w:rPr>
        <w:lang w:val="en-GB"/>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b8o3_contractnotice_simp_neg_en.docx</w:t>
    </w:r>
    <w:r>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AE9" w:rsidRDefault="002B6924">
    <w:pPr>
      <w:pStyle w:val="Footer"/>
      <w:tabs>
        <w:tab w:val="clear" w:pos="4320"/>
        <w:tab w:val="clear" w:pos="8640"/>
        <w:tab w:val="right" w:pos="9214"/>
      </w:tabs>
      <w:spacing w:before="120" w:after="0"/>
      <w:rPr>
        <w:b/>
        <w:sz w:val="20"/>
        <w:lang w:val="en-GB"/>
      </w:rPr>
    </w:pPr>
    <w:r>
      <w:rPr>
        <w:b/>
        <w:sz w:val="20"/>
      </w:rPr>
      <w:t>2021.1</w:t>
    </w:r>
    <w:r>
      <w:rPr>
        <w:sz w:val="18"/>
        <w:szCs w:val="18"/>
        <w:lang w:val="en-GB"/>
      </w:rPr>
      <w:tab/>
      <w:t xml:space="preserve">Page </w:t>
    </w:r>
    <w:r>
      <w:rPr>
        <w:rStyle w:val="PageNumber"/>
        <w:sz w:val="18"/>
        <w:szCs w:val="18"/>
        <w:lang w:val="en-GB"/>
      </w:rPr>
      <w:fldChar w:fldCharType="begin"/>
    </w:r>
    <w:r>
      <w:rPr>
        <w:rStyle w:val="PageNumber"/>
        <w:sz w:val="18"/>
        <w:szCs w:val="18"/>
        <w:lang w:val="en-GB"/>
      </w:rPr>
      <w:instrText xml:space="preserve"> PAGE </w:instrText>
    </w:r>
    <w:r>
      <w:rPr>
        <w:rStyle w:val="PageNumber"/>
        <w:sz w:val="18"/>
        <w:szCs w:val="18"/>
        <w:lang w:val="en-GB"/>
      </w:rPr>
      <w:fldChar w:fldCharType="separate"/>
    </w:r>
    <w:r>
      <w:rPr>
        <w:rStyle w:val="PageNumber"/>
        <w:sz w:val="18"/>
        <w:szCs w:val="18"/>
        <w:lang w:val="en-GB"/>
      </w:rPr>
      <w:t>5</w:t>
    </w:r>
    <w:r>
      <w:rPr>
        <w:rStyle w:val="PageNumber"/>
        <w:sz w:val="18"/>
        <w:szCs w:val="18"/>
        <w:lang w:val="en-GB"/>
      </w:rPr>
      <w:fldChar w:fldCharType="end"/>
    </w:r>
    <w:r>
      <w:rPr>
        <w:rStyle w:val="PageNumber"/>
        <w:sz w:val="18"/>
        <w:szCs w:val="18"/>
        <w:lang w:val="en-GB"/>
      </w:rPr>
      <w:t xml:space="preserve"> of </w:t>
    </w:r>
    <w:r>
      <w:rPr>
        <w:rStyle w:val="PageNumber"/>
        <w:sz w:val="18"/>
        <w:szCs w:val="18"/>
        <w:lang w:val="en-GB"/>
      </w:rPr>
      <w:fldChar w:fldCharType="begin"/>
    </w:r>
    <w:r>
      <w:rPr>
        <w:rStyle w:val="PageNumber"/>
        <w:sz w:val="18"/>
        <w:szCs w:val="18"/>
        <w:lang w:val="en-GB"/>
      </w:rPr>
      <w:instrText xml:space="preserve"> NUMPAGES </w:instrText>
    </w:r>
    <w:r>
      <w:rPr>
        <w:rStyle w:val="PageNumber"/>
        <w:sz w:val="18"/>
        <w:szCs w:val="18"/>
        <w:lang w:val="en-GB"/>
      </w:rPr>
      <w:fldChar w:fldCharType="separate"/>
    </w:r>
    <w:r>
      <w:rPr>
        <w:rStyle w:val="PageNumber"/>
        <w:sz w:val="18"/>
        <w:szCs w:val="18"/>
        <w:lang w:val="en-GB"/>
      </w:rPr>
      <w:t>5</w:t>
    </w:r>
    <w:r>
      <w:rPr>
        <w:rStyle w:val="PageNumber"/>
        <w:sz w:val="18"/>
        <w:szCs w:val="18"/>
        <w:lang w:val="en-GB"/>
      </w:rPr>
      <w:fldChar w:fldCharType="end"/>
    </w:r>
  </w:p>
  <w:p w:rsidR="00705AE9" w:rsidRDefault="002B6924">
    <w:pPr>
      <w:pStyle w:val="Footer"/>
      <w:spacing w:before="0" w:after="0"/>
      <w:rPr>
        <w:lang w:val="en-GB"/>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b8o3_contractnotice_simp_neg_en.docx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924" w:rsidRDefault="002B6924">
      <w:pPr>
        <w:spacing w:before="0" w:after="0"/>
      </w:pPr>
      <w:r>
        <w:separator/>
      </w:r>
    </w:p>
  </w:footnote>
  <w:footnote w:type="continuationSeparator" w:id="0">
    <w:p w:rsidR="002B6924" w:rsidRDefault="002B692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AE9" w:rsidRDefault="00705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AE9" w:rsidRDefault="00705AE9">
    <w:pPr>
      <w:pStyle w:val="Header"/>
      <w:ind w:left="44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AE9" w:rsidRDefault="00705AE9">
    <w:pPr>
      <w:pStyle w:val="Header"/>
      <w:ind w:left="44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03C9C"/>
    <w:multiLevelType w:val="multilevel"/>
    <w:tmpl w:val="DE1688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2F47990"/>
    <w:multiLevelType w:val="multilevel"/>
    <w:tmpl w:val="981294B4"/>
    <w:lvl w:ilvl="0">
      <w:start w:val="1"/>
      <w:numFmt w:val="decimal"/>
      <w:pStyle w:val="PRAGHeading2"/>
      <w:lvlText w:val="%1."/>
      <w:lvlJc w:val="left"/>
      <w:pPr>
        <w:tabs>
          <w:tab w:val="num" w:pos="1134"/>
        </w:tabs>
        <w:ind w:left="1134" w:hanging="567"/>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05AE9"/>
    <w:rsid w:val="002B6924"/>
    <w:rsid w:val="006937AD"/>
    <w:rsid w:val="00705AE9"/>
    <w:rsid w:val="00D957B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A4EA63-011D-4EB3-B901-F27D8A61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pacing w:before="100" w:after="100"/>
    </w:pPr>
    <w:rPr>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inition">
    <w:name w:val="Definition"/>
    <w:qFormat/>
    <w:rPr>
      <w:i/>
    </w:rPr>
  </w:style>
  <w:style w:type="character" w:customStyle="1" w:styleId="CITE">
    <w:name w:val="CITE"/>
    <w:qFormat/>
    <w:rPr>
      <w:i/>
    </w:rPr>
  </w:style>
  <w:style w:type="character" w:customStyle="1" w:styleId="CODE">
    <w:name w:val="CODE"/>
    <w:qFormat/>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Strong">
    <w:name w:val="Strong"/>
    <w:qFormat/>
    <w:rPr>
      <w:b/>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character" w:styleId="PageNumber">
    <w:name w:val="page number"/>
    <w:basedOn w:val="DefaultParagraphFont"/>
    <w:qFormat/>
    <w:rsid w:val="007F095B"/>
  </w:style>
  <w:style w:type="character" w:customStyle="1" w:styleId="FootnoteCharacters">
    <w:name w:val="Footnote Characters"/>
    <w:uiPriority w:val="99"/>
    <w:qFormat/>
    <w:rPr>
      <w:vertAlign w:val="superscript"/>
    </w:rPr>
  </w:style>
  <w:style w:type="character" w:styleId="FootnoteReference">
    <w:name w:val="footnote reference"/>
    <w:rPr>
      <w:vertAlign w:val="superscript"/>
    </w:rPr>
  </w:style>
  <w:style w:type="character" w:customStyle="1" w:styleId="FooterChar">
    <w:name w:val="Footer Char"/>
    <w:link w:val="Footer"/>
    <w:qFormat/>
    <w:rsid w:val="007727F3"/>
    <w:rPr>
      <w:sz w:val="24"/>
      <w:lang w:val="en-US" w:eastAsia="en-US"/>
    </w:rPr>
  </w:style>
  <w:style w:type="character" w:customStyle="1" w:styleId="BalloonTextChar">
    <w:name w:val="Balloon Text Char"/>
    <w:link w:val="BalloonText"/>
    <w:qFormat/>
    <w:rsid w:val="00D240C3"/>
    <w:rPr>
      <w:rFonts w:ascii="Tahoma" w:hAnsi="Tahoma" w:cs="Tahoma"/>
      <w:sz w:val="16"/>
      <w:szCs w:val="16"/>
      <w:lang w:val="en-US" w:eastAsia="en-US"/>
    </w:rPr>
  </w:style>
  <w:style w:type="character" w:styleId="CommentReference">
    <w:name w:val="annotation reference"/>
    <w:qFormat/>
    <w:rsid w:val="009B69BE"/>
    <w:rPr>
      <w:sz w:val="16"/>
      <w:szCs w:val="16"/>
    </w:rPr>
  </w:style>
  <w:style w:type="character" w:customStyle="1" w:styleId="CommentTextChar">
    <w:name w:val="Comment Text Char"/>
    <w:link w:val="CommentText"/>
    <w:qFormat/>
    <w:rsid w:val="009B69BE"/>
    <w:rPr>
      <w:lang w:val="en-US" w:eastAsia="en-US"/>
    </w:rPr>
  </w:style>
  <w:style w:type="character" w:customStyle="1" w:styleId="CommentSubjectChar">
    <w:name w:val="Comment Subject Char"/>
    <w:link w:val="CommentSubject"/>
    <w:qFormat/>
    <w:rsid w:val="009B69BE"/>
    <w:rPr>
      <w:b/>
      <w:bCs/>
      <w:lang w:val="en-US" w:eastAsia="en-US"/>
    </w:rPr>
  </w:style>
  <w:style w:type="character" w:customStyle="1" w:styleId="SubtitleChar">
    <w:name w:val="Subtitle Char"/>
    <w:link w:val="Subtitle"/>
    <w:qFormat/>
    <w:rsid w:val="00A36F1C"/>
    <w:rPr>
      <w:b/>
      <w:sz w:val="28"/>
      <w:lang w:val="fr-BE"/>
    </w:rPr>
  </w:style>
  <w:style w:type="character" w:customStyle="1" w:styleId="FootnoteTextChar">
    <w:name w:val="Footnote Text Char"/>
    <w:link w:val="FootnoteText"/>
    <w:uiPriority w:val="99"/>
    <w:qFormat/>
    <w:rsid w:val="00B9793F"/>
    <w:rPr>
      <w:lang w:val="en-US" w:eastAsia="en-US"/>
    </w:rPr>
  </w:style>
  <w:style w:type="character" w:customStyle="1" w:styleId="normaltextrun">
    <w:name w:val="normaltextrun"/>
    <w:qFormat/>
    <w:rsid w:val="00B9793F"/>
  </w:style>
  <w:style w:type="character" w:customStyle="1" w:styleId="eop">
    <w:name w:val="eop"/>
    <w:qFormat/>
    <w:rsid w:val="00B9793F"/>
  </w:style>
  <w:style w:type="character" w:customStyle="1" w:styleId="highlight">
    <w:name w:val="highlight"/>
    <w:qFormat/>
    <w:rsid w:val="00B9793F"/>
    <w:rPr>
      <w:rFonts w:cs="Times New Roman"/>
    </w:rPr>
  </w:style>
  <w:style w:type="character" w:customStyle="1" w:styleId="Heading4Char">
    <w:name w:val="Heading 4 Char"/>
    <w:basedOn w:val="DefaultParagraphFont"/>
    <w:link w:val="Heading4"/>
    <w:semiHidden/>
    <w:qFormat/>
    <w:rsid w:val="004916FF"/>
    <w:rPr>
      <w:rFonts w:asciiTheme="minorHAnsi" w:eastAsiaTheme="minorEastAsia" w:hAnsiTheme="minorHAnsi" w:cstheme="minorBidi"/>
      <w:b/>
      <w:bCs/>
      <w:sz w:val="28"/>
      <w:szCs w:val="28"/>
      <w:lang w:val="en-US" w:eastAsia="en-US"/>
    </w:rPr>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character" w:customStyle="1" w:styleId="Bullets">
    <w:name w:val="Bullets"/>
    <w:qFormat/>
    <w:rPr>
      <w:rFonts w:ascii="OpenSymbol" w:eastAsia="OpenSymbol" w:hAnsi="OpenSymbol" w:cs="OpenSymbol"/>
    </w:rPr>
  </w:style>
  <w:style w:type="character" w:styleId="LineNumber">
    <w:name w:val="line number"/>
  </w:style>
  <w:style w:type="character" w:customStyle="1" w:styleId="WW8Num23z0">
    <w:name w:val="WW8Num23z0"/>
    <w:qFormat/>
    <w:rPr>
      <w:rFonts w:ascii="Courier" w:eastAsia="Times New Roman" w:hAnsi="Courier" w:cs="Courier"/>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before="0"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Cs w:val="24"/>
    </w:r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paragraph" w:customStyle="1" w:styleId="H1">
    <w:name w:val="H1"/>
    <w:basedOn w:val="Normal"/>
    <w:next w:val="Normal"/>
    <w:qFormat/>
    <w:pPr>
      <w:keepNext/>
      <w:outlineLvl w:val="1"/>
    </w:pPr>
    <w:rPr>
      <w:b/>
      <w:kern w:val="2"/>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qFormat/>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qFormat/>
    <w:pPr>
      <w:widowControl w:val="0"/>
      <w:pBdr>
        <w:top w:val="double" w:sz="2" w:space="0" w:color="000000"/>
      </w:pBdr>
      <w:jc w:val="center"/>
    </w:pPr>
    <w:rPr>
      <w:rFonts w:ascii="Arial" w:hAnsi="Arial"/>
      <w:vanish/>
      <w:sz w:val="16"/>
      <w:lang w:val="en-US" w:eastAsia="en-US"/>
    </w:rPr>
  </w:style>
  <w:style w:type="paragraph" w:styleId="z-TopofForm">
    <w:name w:val="HTML Top of Form"/>
    <w:next w:val="Normal"/>
    <w:qFormat/>
    <w:pPr>
      <w:widowControl w:val="0"/>
      <w:pBdr>
        <w:bottom w:val="double" w:sz="2" w:space="0" w:color="000000"/>
      </w:pBdr>
      <w:jc w:val="center"/>
    </w:pPr>
    <w:rPr>
      <w:rFonts w:ascii="Arial" w:hAnsi="Arial"/>
      <w:vanish/>
      <w:sz w:val="16"/>
      <w:lang w:val="en-US" w:eastAsia="en-US"/>
    </w:rPr>
  </w:style>
  <w:style w:type="paragraph" w:styleId="DocumentMap">
    <w:name w:val="Document Map"/>
    <w:basedOn w:val="Normal"/>
    <w:semiHidden/>
    <w:qFormat/>
    <w:pPr>
      <w:shd w:val="clear" w:color="auto" w:fill="000080"/>
    </w:pPr>
    <w:rPr>
      <w:rFonts w:ascii="Tahoma" w:hAnsi="Tahoma"/>
    </w:rPr>
  </w:style>
  <w:style w:type="paragraph" w:customStyle="1" w:styleId="HeaderandFooter">
    <w:name w:val="Header and Footer"/>
    <w:basedOn w:val="Normal"/>
    <w:qFormat/>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3">
    <w:name w:val="Body Text 3"/>
    <w:basedOn w:val="Normal"/>
    <w:qFormat/>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paragraph" w:styleId="BalloonText">
    <w:name w:val="Balloon Text"/>
    <w:basedOn w:val="Normal"/>
    <w:link w:val="BalloonTextChar"/>
    <w:qFormat/>
    <w:rsid w:val="00D240C3"/>
    <w:pPr>
      <w:spacing w:before="0" w:after="0"/>
    </w:pPr>
    <w:rPr>
      <w:rFonts w:ascii="Tahoma" w:hAnsi="Tahoma" w:cs="Tahoma"/>
      <w:sz w:val="16"/>
      <w:szCs w:val="16"/>
    </w:rPr>
  </w:style>
  <w:style w:type="paragraph" w:styleId="CommentText">
    <w:name w:val="annotation text"/>
    <w:basedOn w:val="Normal"/>
    <w:link w:val="CommentTextChar"/>
    <w:qFormat/>
    <w:rsid w:val="009B69BE"/>
    <w:rPr>
      <w:sz w:val="20"/>
    </w:rPr>
  </w:style>
  <w:style w:type="paragraph" w:styleId="CommentSubject">
    <w:name w:val="annotation subject"/>
    <w:basedOn w:val="CommentText"/>
    <w:next w:val="CommentText"/>
    <w:link w:val="CommentSubjectChar"/>
    <w:qFormat/>
    <w:rsid w:val="009B69BE"/>
    <w:rPr>
      <w:b/>
      <w:bCs/>
    </w:rPr>
  </w:style>
  <w:style w:type="paragraph" w:customStyle="1" w:styleId="PRAGHeading2">
    <w:name w:val="PRAG Heading 2"/>
    <w:basedOn w:val="Normal"/>
    <w:qFormat/>
    <w:rsid w:val="00971962"/>
    <w:pPr>
      <w:numPr>
        <w:numId w:val="1"/>
      </w:numPr>
    </w:pPr>
  </w:style>
  <w:style w:type="paragraph" w:styleId="Subtitle">
    <w:name w:val="Subtitle"/>
    <w:basedOn w:val="Normal"/>
    <w:link w:val="SubtitleChar"/>
    <w:qFormat/>
    <w:rsid w:val="00A36F1C"/>
    <w:pPr>
      <w:widowControl/>
      <w:spacing w:before="0" w:after="0"/>
      <w:jc w:val="center"/>
    </w:pPr>
    <w:rPr>
      <w:b/>
      <w:sz w:val="28"/>
      <w:lang w:val="fr-BE" w:eastAsia="en-GB"/>
    </w:rPr>
  </w:style>
  <w:style w:type="paragraph" w:customStyle="1" w:styleId="paragraph">
    <w:name w:val="paragraph"/>
    <w:basedOn w:val="Normal"/>
    <w:qFormat/>
    <w:rsid w:val="00B9793F"/>
    <w:pPr>
      <w:widowControl/>
      <w:spacing w:beforeAutospacing="1" w:afterAutospacing="1"/>
    </w:pPr>
    <w:rPr>
      <w:szCs w:val="24"/>
      <w:lang w:val="fr-BE" w:eastAsia="fr-BE"/>
    </w:rPr>
  </w:style>
  <w:style w:type="paragraph" w:styleId="ListParagraph">
    <w:name w:val="List Paragraph"/>
    <w:basedOn w:val="Normal"/>
    <w:uiPriority w:val="34"/>
    <w:qFormat/>
    <w:rsid w:val="00B9793F"/>
    <w:pPr>
      <w:ind w:left="720"/>
    </w:pPr>
  </w:style>
  <w:style w:type="paragraph" w:styleId="Revision">
    <w:name w:val="Revision"/>
    <w:uiPriority w:val="99"/>
    <w:semiHidden/>
    <w:qFormat/>
    <w:rsid w:val="00D97139"/>
    <w:rPr>
      <w:sz w:val="24"/>
      <w:lang w:val="en-US" w:eastAsia="en-US"/>
    </w:rPr>
  </w:style>
  <w:style w:type="numbering" w:customStyle="1" w:styleId="WW8Num23">
    <w:name w:val="WW8Num2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312A1-727C-4337-BECE-FE940D30D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1727</Words>
  <Characters>9848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dc:description/>
  <cp:lastModifiedBy>Sladjana Damjanoska</cp:lastModifiedBy>
  <cp:revision>3</cp:revision>
  <cp:lastPrinted>2016-05-31T08:36:00Z</cp:lastPrinted>
  <dcterms:created xsi:type="dcterms:W3CDTF">2024-08-22T14:44:00Z</dcterms:created>
  <dcterms:modified xsi:type="dcterms:W3CDTF">2024-08-22T14:44:00Z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ENERATOR">
    <vt:lpwstr>Microsoft FrontPage 3.0</vt:lpwstr>
  </property>
</Properties>
</file>